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crk-20260729.htm"/>
      <w:bookmarkStart w:id="1" w:name="kscrk20260729"/>
      <w:bookmarkEnd w:id="0"/>
      <w:bookmarkEnd w:id="1"/>
      <w:r>
        <w:rPr/>
        <w:t> </w:t>
      </w:r>
    </w:p>
    <w:p>
      <w:pPr>
        <w:pStyle w:val="TextBody"/>
        <w:bidi w:val="0"/>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16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6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6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356" w:type="dxa"/>
        <w:jc w:val="left"/>
        <w:tblInd w:w="0" w:type="dxa"/>
        <w:tblLayout w:type="fixed"/>
        <w:tblCellMar>
          <w:top w:w="28" w:type="dxa"/>
          <w:left w:w="28" w:type="dxa"/>
          <w:bottom w:w="28" w:type="dxa"/>
          <w:right w:w="28" w:type="dxa"/>
        </w:tblCellMar>
      </w:tblPr>
      <w:tblGrid>
        <w:gridCol w:w="5356"/>
      </w:tblGrid>
      <w:tr>
        <w:trPr/>
        <w:tc>
          <w:tcPr>
            <w:tcW w:w="5356" w:type="dxa"/>
            <w:tcBorders/>
            <w:vAlign w:val="center"/>
          </w:tcPr>
          <w:p>
            <w:pPr>
              <w:pStyle w:val="TableContents"/>
              <w:bidi w:val="0"/>
              <w:spacing w:before="0" w:after="283"/>
              <w:jc w:val="left"/>
              <w:rPr>
                <w:sz w:val="4"/>
                <w:szCs w:val="4"/>
              </w:rPr>
            </w:pPr>
            <w:r>
              <w:rPr>
                <w:sz w:val="4"/>
                <w:szCs w:val="4"/>
              </w:rPr>
            </w:r>
          </w:p>
        </w:tc>
      </w:tr>
      <w:tr>
        <w:trPr/>
        <w:tc>
          <w:tcPr>
            <w:tcW w:w="53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July 29, 2026</w:t>
            </w:r>
          </w:p>
        </w:tc>
      </w:tr>
    </w:tbl>
    <w:p>
      <w:pPr>
        <w:pStyle w:val="TextBody"/>
        <w:pBdr>
          <w:bottom w:val="single" w:sz="6" w:space="1" w:color="000000"/>
        </w:pBdr>
        <w:bidi w:val="0"/>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COMSTOCK RESOURCES,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52"/>
        <w:gridCol w:w="860"/>
        <w:gridCol w:w="873"/>
        <w:gridCol w:w="1846"/>
        <w:gridCol w:w="1336"/>
      </w:tblGrid>
      <w:tr>
        <w:trPr/>
        <w:tc>
          <w:tcPr>
            <w:tcW w:w="952"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Nevada</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001-03262</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94-1667468</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52"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0"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5300 Town and Country Blvd.</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Suite 500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Frisco, Texas</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75034</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(972)</w:t>
            </w:r>
            <w:r>
              <w:rPr>
                <w:rFonts w:ascii="Times New Roman" w:hAnsi="Times New Roman"/>
                <w:color w:val="000000"/>
                <w:sz w:val="20"/>
              </w:rPr>
              <w:t xml:space="preserve"> </w:t>
            </w:r>
            <w:r>
              <w:rPr>
                <w:rFonts w:ascii="Times New Roman" w:hAnsi="Times New Roman"/>
                <w:b/>
                <w:color w:val="000000"/>
                <w:sz w:val="20"/>
              </w:rPr>
              <w:t>668-8800</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jc w:val="left"/>
        <w:rPr/>
      </w:pPr>
      <w:r>
        <w:rPr/>
        <w:t>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jc w:val="left"/>
        <w:rPr/>
      </w:pPr>
      <w:r>
        <w:rPr/>
        <w:t> </w:t>
      </w:r>
    </w:p>
    <w:tbl>
      <w:tblPr>
        <w:tblW w:w="9512" w:type="dxa"/>
        <w:jc w:val="left"/>
        <w:tblInd w:w="0" w:type="dxa"/>
        <w:tblLayout w:type="fixed"/>
        <w:tblCellMar>
          <w:top w:w="28" w:type="dxa"/>
          <w:left w:w="28" w:type="dxa"/>
          <w:bottom w:w="28" w:type="dxa"/>
          <w:right w:w="28" w:type="dxa"/>
        </w:tblCellMar>
      </w:tblPr>
      <w:tblGrid>
        <w:gridCol w:w="331"/>
        <w:gridCol w:w="9181"/>
      </w:tblGrid>
      <w:tr>
        <w:trPr/>
        <w:tc>
          <w:tcPr>
            <w:tcW w:w="331" w:type="dxa"/>
            <w:tcBorders/>
            <w:vAlign w:val="center"/>
          </w:tcPr>
          <w:p>
            <w:pPr>
              <w:pStyle w:val="TableContents"/>
              <w:bidi w:val="0"/>
              <w:spacing w:before="0" w:after="283"/>
              <w:jc w:val="left"/>
              <w:rPr>
                <w:sz w:val="4"/>
                <w:szCs w:val="4"/>
              </w:rPr>
            </w:pPr>
            <w:r>
              <w:rPr>
                <w:sz w:val="4"/>
                <w:szCs w:val="4"/>
              </w:rPr>
            </w:r>
          </w:p>
        </w:tc>
        <w:tc>
          <w:tcPr>
            <w:tcW w:w="918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r>
        <w:trPr/>
        <w:tc>
          <w:tcPr>
            <w:tcW w:w="331" w:type="dxa"/>
            <w:tcBorders/>
            <w:tcMar>
              <w:top w:w="0" w:type="dxa"/>
              <w:left w:w="0" w:type="dxa"/>
              <w:bottom w:w="0" w:type="dxa"/>
              <w:right w:w="0" w:type="dxa"/>
            </w:tcMar>
            <w:vAlign w:val="center"/>
          </w:tcPr>
          <w:p>
            <w:pPr>
              <w:pStyle w:val="TableContents"/>
              <w:bidi w:val="0"/>
              <w:spacing w:before="120" w:after="283"/>
              <w:jc w:val="center"/>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r>
        <w:trPr/>
        <w:tc>
          <w:tcPr>
            <w:tcW w:w="331" w:type="dxa"/>
            <w:tcBorders/>
            <w:tcMar>
              <w:top w:w="0" w:type="dxa"/>
              <w:left w:w="0" w:type="dxa"/>
              <w:bottom w:w="0" w:type="dxa"/>
              <w:right w:w="0" w:type="dxa"/>
            </w:tcMar>
            <w:vAlign w:val="center"/>
          </w:tcPr>
          <w:p>
            <w:pPr>
              <w:pStyle w:val="TableContents"/>
              <w:bidi w:val="0"/>
              <w:spacing w:before="120" w:after="283"/>
              <w:jc w:val="center"/>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r>
        <w:trPr/>
        <w:tc>
          <w:tcPr>
            <w:tcW w:w="331" w:type="dxa"/>
            <w:tcBorders/>
            <w:tcMar>
              <w:top w:w="0" w:type="dxa"/>
              <w:left w:w="0" w:type="dxa"/>
              <w:bottom w:w="0" w:type="dxa"/>
              <w:right w:w="0" w:type="dxa"/>
            </w:tcMar>
            <w:vAlign w:val="center"/>
          </w:tcPr>
          <w:p>
            <w:pPr>
              <w:pStyle w:val="TableContents"/>
              <w:bidi w:val="0"/>
              <w:spacing w:before="120" w:after="283"/>
              <w:jc w:val="center"/>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jc w:val="left"/>
        <w:rPr/>
      </w:pPr>
      <w:r>
        <w:rPr/>
        <w:t> </w:t>
      </w:r>
    </w:p>
    <w:p>
      <w:pPr>
        <w:pStyle w:val="TextBody"/>
        <w:bidi w:val="0"/>
        <w:spacing w:before="40" w:after="16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680" w:type="dxa"/>
        <w:jc w:val="left"/>
        <w:tblInd w:w="0" w:type="dxa"/>
        <w:tblLayout w:type="fixed"/>
        <w:tblCellMar>
          <w:top w:w="28" w:type="dxa"/>
          <w:left w:w="28" w:type="dxa"/>
          <w:bottom w:w="28" w:type="dxa"/>
          <w:right w:w="28" w:type="dxa"/>
        </w:tblCellMar>
      </w:tblPr>
      <w:tblGrid>
        <w:gridCol w:w="3616"/>
        <w:gridCol w:w="146"/>
        <w:gridCol w:w="946"/>
        <w:gridCol w:w="146"/>
        <w:gridCol w:w="3826"/>
      </w:tblGrid>
      <w:tr>
        <w:trPr/>
        <w:tc>
          <w:tcPr>
            <w:tcW w:w="36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61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$0.50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CRK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New York Stock Exchange</w:t>
            </w:r>
          </w:p>
        </w:tc>
      </w:tr>
      <w:tr>
        <w:trPr/>
        <w:tc>
          <w:tcPr>
            <w:tcW w:w="36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CRK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New York Stock Exchange Texas</w:t>
            </w:r>
          </w:p>
        </w:tc>
      </w:tr>
    </w:tbl>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Emerging growth company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left"/>
        <w:rPr/>
      </w:pPr>
      <w:r>
        <w:rPr/>
        <w:t> </w:t>
      </w:r>
    </w:p>
    <w:p>
      <w:pPr>
        <w:pStyle w:val="Heading2"/>
        <w:bidi w:val="0"/>
        <w:jc w:val="left"/>
        <w:rPr/>
      </w:pPr>
      <w:r>
        <w:rPr/>
        <w:t> </w:t>
      </w:r>
    </w:p>
    <w:p>
      <w:pPr>
        <w:pStyle w:val="HorizontalLine"/>
        <w:pBdr>
          <w:bottom w:val="double" w:sz="2" w:space="0" w:color="808080"/>
        </w:pBdr>
        <w:bidi w:val="0"/>
        <w:spacing w:before="0" w:after="283"/>
        <w:jc w:val="left"/>
        <w:rPr/>
      </w:pPr>
      <w:r>
        <w:rPr/>
      </w:r>
    </w:p>
    <w:p>
      <w:pPr>
        <w:pStyle w:val="Heading2"/>
        <w:bidi w:val="0"/>
        <w:jc w:val="left"/>
        <w:rPr>
          <w:rFonts w:ascii="Times New Roman" w:hAnsi="Times New Roman"/>
          <w:color w:val="000000"/>
          <w:sz w:val="20"/>
        </w:rPr>
      </w:pPr>
      <w:r>
        <w:rPr>
          <w:rFonts w:ascii="Times New Roman" w:hAnsi="Times New Roman"/>
          <w:color w:val="000000"/>
          <w:sz w:val="20"/>
        </w:rPr>
        <w:t>Item 2.02 Results of Operations and Financial Condition.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July 29, 2026, Comstock Resources, Inc. ("Comstock" or the "Company") announced financial results for the quarter ended June 30, 2026. A copy of the press release announcing Comstock's earnings and operating results for this period and other matters is attached hereto as Exhibit 99.1.</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earnings press release contains financial measures that are not in accordance with generally accepted accounting principles in the United States ("GAAP"). Comstock has provided reconciliations within the earnings release of the non-GAAP financial measures to the most directly comparable GAAP financial measures. The non-GAAP financial measures should be considered in addition to, but not as a substitute for, measures of financial performance prepared in accordance with GAAP that are presented in the earnings release.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information in this Form 8-K and the Exhibit attached hereto shall not be deemed "filed" for purposes of Section 18 of the Securities Exchange Act of 1934, as amended (the "Exchange Act") or otherwise subject to the liability of that section, and shall not be incorporated by reference in any filing under the Securities Act of 1933, as amended, or the Exchange Act, except as shall be expressly set forth by specific reference in such filing.</w:t>
      </w:r>
    </w:p>
    <w:p>
      <w:pPr>
        <w:pStyle w:val="Heading2"/>
        <w:bidi w:val="0"/>
        <w:spacing w:before="360" w:after="240"/>
        <w:jc w:val="left"/>
        <w:rPr>
          <w:rFonts w:ascii="Times New Roman" w:hAnsi="Times New Roman"/>
          <w:color w:val="000000"/>
          <w:sz w:val="20"/>
        </w:rPr>
      </w:pPr>
      <w:r>
        <w:rPr>
          <w:rFonts w:ascii="Times New Roman" w:hAnsi="Times New Roman"/>
          <w:color w:val="000000"/>
          <w:sz w:val="20"/>
        </w:rPr>
        <w:t>Item 9.01 Financial Statements and Exhibits.</w:t>
      </w:r>
    </w:p>
    <w:tbl>
      <w:tblPr>
        <w:tblW w:w="7727" w:type="dxa"/>
        <w:jc w:val="left"/>
        <w:tblInd w:w="0" w:type="dxa"/>
        <w:tblLayout w:type="fixed"/>
        <w:tblCellMar>
          <w:top w:w="28" w:type="dxa"/>
          <w:left w:w="28" w:type="dxa"/>
          <w:bottom w:w="28" w:type="dxa"/>
          <w:right w:w="28" w:type="dxa"/>
        </w:tblCellMar>
      </w:tblPr>
      <w:tblGrid>
        <w:gridCol w:w="1081"/>
        <w:gridCol w:w="6646"/>
      </w:tblGrid>
      <w:tr>
        <w:trPr/>
        <w:tc>
          <w:tcPr>
            <w:tcW w:w="1081" w:type="dxa"/>
            <w:tcBorders/>
            <w:vAlign w:val="center"/>
          </w:tcPr>
          <w:p>
            <w:pPr>
              <w:pStyle w:val="TableContents"/>
              <w:bidi w:val="0"/>
              <w:spacing w:before="0" w:after="283"/>
              <w:jc w:val="left"/>
              <w:rPr>
                <w:sz w:val="4"/>
                <w:szCs w:val="4"/>
              </w:rPr>
            </w:pPr>
            <w:r>
              <w:rPr>
                <w:sz w:val="4"/>
                <w:szCs w:val="4"/>
              </w:rPr>
            </w:r>
          </w:p>
        </w:tc>
        <w:tc>
          <w:tcPr>
            <w:tcW w:w="6646" w:type="dxa"/>
            <w:tcBorders/>
            <w:vAlign w:val="center"/>
          </w:tcPr>
          <w:p>
            <w:pPr>
              <w:pStyle w:val="TableContents"/>
              <w:bidi w:val="0"/>
              <w:spacing w:before="0" w:after="283"/>
              <w:jc w:val="left"/>
              <w:rPr>
                <w:sz w:val="4"/>
                <w:szCs w:val="4"/>
              </w:rPr>
            </w:pPr>
            <w:r>
              <w:rPr>
                <w:sz w:val="4"/>
                <w:szCs w:val="4"/>
              </w:rPr>
            </w:r>
          </w:p>
        </w:tc>
      </w:tr>
      <w:tr>
        <w:trPr/>
        <w:tc>
          <w:tcPr>
            <w:tcW w:w="10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Exhibit No.</w:t>
            </w:r>
          </w:p>
        </w:tc>
        <w:tc>
          <w:tcPr>
            <w:tcW w:w="6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Description</w:t>
            </w:r>
          </w:p>
        </w:tc>
      </w:tr>
      <w:tr>
        <w:trPr/>
        <w:tc>
          <w:tcPr>
            <w:tcW w:w="1081" w:type="dxa"/>
            <w:tcBorders/>
            <w:tcMar>
              <w:top w:w="0" w:type="dxa"/>
              <w:left w:w="0" w:type="dxa"/>
              <w:bottom w:w="0" w:type="dxa"/>
              <w:right w:w="0" w:type="dxa"/>
            </w:tcMar>
            <w:vAlign w:val="center"/>
          </w:tcPr>
          <w:p>
            <w:pPr>
              <w:pStyle w:val="TableContents"/>
              <w:bidi w:val="0"/>
              <w:spacing w:before="0" w:after="283"/>
              <w:jc w:val="center"/>
              <w:rPr/>
            </w:pPr>
            <w:hyperlink w:anchor="crk-ex99_1.htm">
              <w:r>
                <w:rPr>
                  <w:rStyle w:val="InternetLink"/>
                  <w:rFonts w:ascii="Times New Roman" w:hAnsi="Times New Roman"/>
                  <w:color w:val="0000FF"/>
                  <w:sz w:val="20"/>
                  <w:u w:val="single"/>
                </w:rPr>
                <w:t>99.1</w:t>
              </w:r>
            </w:hyperlink>
          </w:p>
        </w:tc>
        <w:tc>
          <w:tcPr>
            <w:tcW w:w="6646" w:type="dxa"/>
            <w:tcBorders/>
            <w:tcMar>
              <w:top w:w="0" w:type="dxa"/>
              <w:left w:w="0" w:type="dxa"/>
              <w:bottom w:w="0" w:type="dxa"/>
              <w:right w:w="0" w:type="dxa"/>
            </w:tcMar>
            <w:vAlign w:val="center"/>
          </w:tcPr>
          <w:p>
            <w:pPr>
              <w:pStyle w:val="TableContents"/>
              <w:bidi w:val="0"/>
              <w:spacing w:before="0" w:after="283"/>
              <w:jc w:val="left"/>
              <w:rPr/>
            </w:pPr>
            <w:hyperlink w:anchor="crk-ex99_1.htm">
              <w:r>
                <w:rPr>
                  <w:rStyle w:val="InternetLink"/>
                  <w:rFonts w:ascii="Times New Roman" w:hAnsi="Times New Roman"/>
                  <w:color w:val="0000FF"/>
                  <w:sz w:val="20"/>
                  <w:u w:val="single"/>
                </w:rPr>
                <w:t>Press Release dated July 29, 2026</w:t>
              </w:r>
            </w:hyperlink>
          </w:p>
        </w:tc>
      </w:tr>
      <w:tr>
        <w:trPr/>
        <w:tc>
          <w:tcPr>
            <w:tcW w:w="10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6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Heading2"/>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5374" w:type="dxa"/>
        <w:jc w:val="left"/>
        <w:tblInd w:w="0" w:type="dxa"/>
        <w:tblLayout w:type="fixed"/>
        <w:tblCellMar>
          <w:top w:w="28" w:type="dxa"/>
          <w:left w:w="28" w:type="dxa"/>
          <w:bottom w:w="28" w:type="dxa"/>
          <w:right w:w="28" w:type="dxa"/>
        </w:tblCellMar>
      </w:tblPr>
      <w:tblGrid>
        <w:gridCol w:w="556"/>
        <w:gridCol w:w="1216"/>
        <w:gridCol w:w="451"/>
        <w:gridCol w:w="3151"/>
      </w:tblGrid>
      <w:tr>
        <w:trPr/>
        <w:tc>
          <w:tcPr>
            <w:tcW w:w="55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15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15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COMSTOCK RESOURCES,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15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21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July 29,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315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ROLAND O. BURNS</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15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Roland O. Burns</w:t>
              <w:br/>
              <w:t>President and 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 w:name="crk-ex99_1.htm"/>
      <w:bookmarkStart w:id="3" w:name="kscrkex99_1"/>
      <w:bookmarkEnd w:id="2"/>
      <w:bookmarkEnd w:id="3"/>
      <w:r>
        <w:rPr/>
        <w:t> </w:t>
      </w:r>
      <w:r>
        <w:br w:type="page"/>
      </w:r>
    </w:p>
    <w:p>
      <w:pPr>
        <w:pStyle w:val="TextBody"/>
        <w:bidi w:val="0"/>
        <w:spacing w:before="0" w:after="200"/>
        <w:jc w:val="right"/>
        <w:rPr>
          <w:rFonts w:ascii="Times New Roman" w:hAnsi="Times New Roman"/>
          <w:b/>
          <w:color w:val="000000"/>
          <w:sz w:val="24"/>
        </w:rPr>
      </w:pPr>
      <w:r>
        <w:rPr>
          <w:rFonts w:ascii="Times New Roman" w:hAnsi="Times New Roman"/>
          <w:b/>
          <w:color w:val="000000"/>
          <w:sz w:val="24"/>
        </w:rPr>
        <w:t>Exhibit 99.1</w:t>
      </w:r>
    </w:p>
    <w:tbl>
      <w:tblPr>
        <w:tblW w:w="7812" w:type="dxa"/>
        <w:jc w:val="left"/>
        <w:tblInd w:w="0" w:type="dxa"/>
        <w:tblLayout w:type="fixed"/>
        <w:tblCellMar>
          <w:top w:w="28" w:type="dxa"/>
          <w:left w:w="28" w:type="dxa"/>
          <w:bottom w:w="28" w:type="dxa"/>
          <w:right w:w="28" w:type="dxa"/>
        </w:tblCellMar>
      </w:tblPr>
      <w:tblGrid>
        <w:gridCol w:w="4301"/>
        <w:gridCol w:w="3511"/>
      </w:tblGrid>
      <w:tr>
        <w:trPr/>
        <w:tc>
          <w:tcPr>
            <w:tcW w:w="4301" w:type="dxa"/>
            <w:tcBorders/>
            <w:vAlign w:val="center"/>
          </w:tcPr>
          <w:p>
            <w:pPr>
              <w:pStyle w:val="TableContents"/>
              <w:bidi w:val="0"/>
              <w:spacing w:before="0" w:after="283"/>
              <w:jc w:val="left"/>
              <w:rPr>
                <w:sz w:val="4"/>
                <w:szCs w:val="4"/>
              </w:rPr>
            </w:pPr>
            <w:r>
              <w:rPr>
                <w:sz w:val="4"/>
                <w:szCs w:val="4"/>
              </w:rPr>
            </w:r>
          </w:p>
        </w:tc>
        <w:tc>
          <w:tcPr>
            <w:tcW w:w="3511" w:type="dxa"/>
            <w:tcBorders/>
            <w:vAlign w:val="center"/>
          </w:tcPr>
          <w:p>
            <w:pPr>
              <w:pStyle w:val="TableContents"/>
              <w:bidi w:val="0"/>
              <w:spacing w:before="0" w:after="283"/>
              <w:jc w:val="left"/>
              <w:rPr>
                <w:sz w:val="4"/>
                <w:szCs w:val="4"/>
              </w:rPr>
            </w:pPr>
            <w:r>
              <w:rPr>
                <w:sz w:val="4"/>
                <w:szCs w:val="4"/>
              </w:rPr>
            </w:r>
          </w:p>
        </w:tc>
      </w:tr>
      <w:tr>
        <w:trPr/>
        <w:tc>
          <w:tcPr>
            <w:tcW w:w="4301" w:type="dxa"/>
            <w:vMerge w:val="restart"/>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2667000" cy="10477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667000" cy="1047750"/>
                          </a:xfrm>
                          <a:prstGeom prst="rect">
                            <a:avLst/>
                          </a:prstGeom>
                        </pic:spPr>
                      </pic:pic>
                    </a:graphicData>
                  </a:graphic>
                </wp:inline>
              </w:drawing>
            </w:r>
          </w:p>
        </w:tc>
        <w:tc>
          <w:tcPr>
            <w:tcW w:w="35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5300 Town and Country Blvd., Suite 500</w:t>
            </w:r>
          </w:p>
        </w:tc>
      </w:tr>
      <w:tr>
        <w:trPr/>
        <w:tc>
          <w:tcPr>
            <w:tcW w:w="4301" w:type="dxa"/>
            <w:vMerge w:val="continue"/>
            <w:tcBorders/>
            <w:tcMar>
              <w:top w:w="0" w:type="dxa"/>
              <w:left w:w="0" w:type="dxa"/>
              <w:bottom w:w="0" w:type="dxa"/>
              <w:right w:w="0" w:type="dxa"/>
            </w:tcMar>
            <w:vAlign w:val="center"/>
          </w:tcPr>
          <w:p>
            <w:pPr>
              <w:pStyle w:val="Normal"/>
              <w:bidi w:val="0"/>
              <w:jc w:val="left"/>
              <w:rPr/>
            </w:pPr>
            <w:r>
              <w:rPr/>
            </w:r>
          </w:p>
        </w:tc>
        <w:tc>
          <w:tcPr>
            <w:tcW w:w="35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Frisco, Texas 75034</w:t>
            </w:r>
          </w:p>
        </w:tc>
      </w:tr>
      <w:tr>
        <w:trPr/>
        <w:tc>
          <w:tcPr>
            <w:tcW w:w="4301" w:type="dxa"/>
            <w:vMerge w:val="continue"/>
            <w:tcBorders/>
            <w:tcMar>
              <w:top w:w="0" w:type="dxa"/>
              <w:left w:w="0" w:type="dxa"/>
              <w:bottom w:w="0" w:type="dxa"/>
              <w:right w:w="0" w:type="dxa"/>
            </w:tcMar>
            <w:vAlign w:val="center"/>
          </w:tcPr>
          <w:p>
            <w:pPr>
              <w:pStyle w:val="Normal"/>
              <w:bidi w:val="0"/>
              <w:jc w:val="left"/>
              <w:rPr/>
            </w:pPr>
            <w:r>
              <w:rPr/>
            </w:r>
          </w:p>
        </w:tc>
        <w:tc>
          <w:tcPr>
            <w:tcW w:w="35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Telephone: (972) 668-8834</w:t>
            </w:r>
          </w:p>
        </w:tc>
      </w:tr>
      <w:tr>
        <w:trPr/>
        <w:tc>
          <w:tcPr>
            <w:tcW w:w="4301" w:type="dxa"/>
            <w:vMerge w:val="continue"/>
            <w:tcBorders/>
            <w:tcMar>
              <w:top w:w="0" w:type="dxa"/>
              <w:left w:w="0" w:type="dxa"/>
              <w:bottom w:w="0" w:type="dxa"/>
              <w:right w:w="0" w:type="dxa"/>
            </w:tcMar>
            <w:vAlign w:val="center"/>
          </w:tcPr>
          <w:p>
            <w:pPr>
              <w:pStyle w:val="Normal"/>
              <w:bidi w:val="0"/>
              <w:jc w:val="left"/>
              <w:rPr/>
            </w:pPr>
            <w:r>
              <w:rPr/>
            </w:r>
          </w:p>
        </w:tc>
        <w:tc>
          <w:tcPr>
            <w:tcW w:w="35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Contact: Ron Mills</w:t>
            </w:r>
          </w:p>
        </w:tc>
      </w:tr>
      <w:tr>
        <w:trPr/>
        <w:tc>
          <w:tcPr>
            <w:tcW w:w="4301" w:type="dxa"/>
            <w:vMerge w:val="continue"/>
            <w:tcBorders/>
            <w:tcMar>
              <w:top w:w="0" w:type="dxa"/>
              <w:left w:w="0" w:type="dxa"/>
              <w:bottom w:w="0" w:type="dxa"/>
              <w:right w:w="0" w:type="dxa"/>
            </w:tcMar>
            <w:vAlign w:val="center"/>
          </w:tcPr>
          <w:p>
            <w:pPr>
              <w:pStyle w:val="Normal"/>
              <w:bidi w:val="0"/>
              <w:jc w:val="left"/>
              <w:rPr/>
            </w:pPr>
            <w:r>
              <w:rPr/>
            </w:r>
          </w:p>
        </w:tc>
        <w:tc>
          <w:tcPr>
            <w:tcW w:w="35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VP of Finance and Investor Relations</w:t>
            </w:r>
          </w:p>
        </w:tc>
      </w:tr>
      <w:tr>
        <w:trPr/>
        <w:tc>
          <w:tcPr>
            <w:tcW w:w="4301" w:type="dxa"/>
            <w:vMerge w:val="continue"/>
            <w:tcBorders/>
            <w:tcMar>
              <w:top w:w="0" w:type="dxa"/>
              <w:left w:w="0" w:type="dxa"/>
              <w:bottom w:w="0" w:type="dxa"/>
              <w:right w:w="0" w:type="dxa"/>
            </w:tcMar>
            <w:vAlign w:val="center"/>
          </w:tcPr>
          <w:p>
            <w:pPr>
              <w:pStyle w:val="Normal"/>
              <w:bidi w:val="0"/>
              <w:jc w:val="left"/>
              <w:rPr/>
            </w:pPr>
            <w:r>
              <w:rPr/>
            </w:r>
          </w:p>
        </w:tc>
        <w:tc>
          <w:tcPr>
            <w:tcW w:w="35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Web Site: www.comstockresources.com</w:t>
            </w:r>
          </w:p>
        </w:tc>
      </w:tr>
      <w:tr>
        <w:trPr/>
        <w:tc>
          <w:tcPr>
            <w:tcW w:w="4301" w:type="dxa"/>
            <w:vMerge w:val="continue"/>
            <w:tcBorders/>
            <w:tcMar>
              <w:top w:w="0" w:type="dxa"/>
              <w:left w:w="0" w:type="dxa"/>
              <w:bottom w:w="0" w:type="dxa"/>
              <w:right w:w="0" w:type="dxa"/>
            </w:tcMar>
            <w:vAlign w:val="center"/>
          </w:tcPr>
          <w:p>
            <w:pPr>
              <w:pStyle w:val="Normal"/>
              <w:bidi w:val="0"/>
              <w:jc w:val="left"/>
              <w:rPr/>
            </w:pPr>
            <w:r>
              <w:rPr/>
            </w:r>
          </w:p>
        </w:tc>
        <w:tc>
          <w:tcPr>
            <w:tcW w:w="35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812"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8"/>
              </w:rPr>
            </w:pPr>
            <w:r>
              <w:rPr>
                <w:rFonts w:ascii="Times New Roman" w:hAnsi="Times New Roman"/>
                <w:b/>
                <w:color w:val="000000"/>
                <w:sz w:val="28"/>
              </w:rPr>
              <w:t>NEWS RELEASE</w:t>
            </w:r>
          </w:p>
        </w:tc>
      </w:tr>
    </w:tbl>
    <w:p>
      <w:pPr>
        <w:pStyle w:val="TextBody"/>
        <w:bidi w:val="0"/>
        <w:spacing w:before="240" w:after="283"/>
        <w:jc w:val="left"/>
        <w:rPr>
          <w:rFonts w:ascii="Times New Roman" w:hAnsi="Times New Roman"/>
          <w:b/>
          <w:i/>
          <w:color w:val="000000"/>
          <w:sz w:val="28"/>
        </w:rPr>
      </w:pPr>
      <w:r>
        <w:rPr>
          <w:rFonts w:ascii="Times New Roman" w:hAnsi="Times New Roman"/>
          <w:b/>
          <w:i/>
          <w:color w:val="000000"/>
          <w:sz w:val="28"/>
        </w:rPr>
        <w:t>For Immediate Release</w:t>
      </w:r>
    </w:p>
    <w:p>
      <w:pPr>
        <w:pStyle w:val="TextBody"/>
        <w:bidi w:val="0"/>
        <w:spacing w:before="240" w:after="283"/>
        <w:jc w:val="center"/>
        <w:rPr>
          <w:rFonts w:ascii="Times New Roman" w:hAnsi="Times New Roman"/>
          <w:b/>
          <w:color w:val="000000"/>
          <w:sz w:val="28"/>
        </w:rPr>
      </w:pPr>
      <w:r>
        <w:rPr>
          <w:rFonts w:ascii="Times New Roman" w:hAnsi="Times New Roman"/>
          <w:b/>
          <w:color w:val="000000"/>
          <w:sz w:val="28"/>
        </w:rPr>
        <w:t>COMSTOCK RESOURCES, INC. REPORTS</w:t>
      </w:r>
    </w:p>
    <w:p>
      <w:pPr>
        <w:pStyle w:val="TextBody"/>
        <w:bidi w:val="0"/>
        <w:jc w:val="center"/>
        <w:rPr>
          <w:rFonts w:ascii="Times New Roman" w:hAnsi="Times New Roman"/>
          <w:b/>
          <w:color w:val="000000"/>
          <w:sz w:val="28"/>
        </w:rPr>
      </w:pPr>
      <w:r>
        <w:rPr>
          <w:rFonts w:ascii="Times New Roman" w:hAnsi="Times New Roman"/>
          <w:b/>
          <w:color w:val="000000"/>
          <w:sz w:val="28"/>
        </w:rPr>
        <w:t>SECOND QUARTER 2026 FINANCIAL AND OPERATING RESULTS</w:t>
      </w:r>
    </w:p>
    <w:p>
      <w:pPr>
        <w:pStyle w:val="TextBody"/>
        <w:bidi w:val="0"/>
        <w:spacing w:before="200" w:after="283"/>
        <w:jc w:val="both"/>
        <w:rPr>
          <w:rFonts w:ascii="Times New Roman" w:hAnsi="Times New Roman"/>
          <w:sz w:val="20"/>
        </w:rPr>
      </w:pPr>
      <w:r>
        <w:rPr>
          <w:rFonts w:ascii="Times New Roman" w:hAnsi="Times New Roman"/>
          <w:b/>
          <w:color w:val="000000"/>
          <w:sz w:val="24"/>
        </w:rPr>
        <w:t>FRISCO, TEXAS, July 29, 2026</w:t>
      </w:r>
      <w:r>
        <w:rPr>
          <w:rFonts w:ascii="Times New Roman" w:hAnsi="Times New Roman"/>
          <w:color w:val="000000"/>
          <w:sz w:val="20"/>
        </w:rPr>
        <w:t xml:space="preserve"> – </w:t>
      </w:r>
      <w:r>
        <w:rPr>
          <w:rFonts w:ascii="Times New Roman" w:hAnsi="Times New Roman"/>
          <w:color w:val="000000"/>
          <w:sz w:val="24"/>
        </w:rPr>
        <w:t>Comstock Resources, Inc. ("Comstock" or the "Company") (NYSE; NYSE Texas: CRK) today reported financial and operating results for the quarter ended June 30, 2026.</w:t>
      </w:r>
    </w:p>
    <w:p>
      <w:pPr>
        <w:pStyle w:val="TextBody"/>
        <w:bidi w:val="0"/>
        <w:spacing w:before="200" w:after="283"/>
        <w:jc w:val="center"/>
        <w:rPr>
          <w:rFonts w:ascii="Times New Roman" w:hAnsi="Times New Roman"/>
          <w:sz w:val="20"/>
        </w:rPr>
      </w:pPr>
      <w:r>
        <w:rPr>
          <w:rFonts w:ascii="Times New Roman" w:hAnsi="Times New Roman"/>
          <w:b/>
          <w:i/>
          <w:color w:val="000000"/>
          <w:sz w:val="24"/>
        </w:rPr>
        <w:t>Highlights of 2026</w:t>
      </w:r>
      <w:r>
        <w:rPr>
          <w:rFonts w:ascii="Times New Roman" w:hAnsi="Times New Roman"/>
          <w:b/>
          <w:color w:val="000000"/>
          <w:sz w:val="24"/>
        </w:rPr>
        <w:t>'s</w:t>
      </w:r>
      <w:r>
        <w:rPr>
          <w:rFonts w:ascii="Times New Roman" w:hAnsi="Times New Roman"/>
          <w:color w:val="000000"/>
          <w:sz w:val="20"/>
        </w:rPr>
        <w:t xml:space="preserve"> </w:t>
      </w:r>
      <w:r>
        <w:rPr>
          <w:rFonts w:ascii="Times New Roman" w:hAnsi="Times New Roman"/>
          <w:b/>
          <w:i/>
          <w:color w:val="000000"/>
          <w:sz w:val="24"/>
        </w:rPr>
        <w:t>Second Quarter</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4"/>
        </w:rPr>
      </w:pPr>
      <w:r>
        <w:rPr>
          <w:rFonts w:ascii="Times New Roman" w:hAnsi="Times New Roman"/>
          <w:color w:val="000000"/>
          <w:sz w:val="24"/>
        </w:rPr>
        <w:t>Return of production growth in quarter with 16% growth over first quarter.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Sold a 27% noncontrolling common equity interest in Pinnacle Gas Services LLC ("Pinnacle") for $600 million and used the proceeds to redeem and retire all of Pinnacle's preferred equity securities and its outstanding indebtedness.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Turned five Western Haynesville wells to sales in the second quarter with an average lateral length of 9,679 feet and an average per well initial production rate of 33 MMcf per day.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Turned twelve Legacy Haynesville wells to sales during the second quarter with an average lateral length of 11,835 feet and an average per well initial production rate of 31 MMcf per day. Five of these wells were horseshoe wells.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4"/>
        </w:rPr>
      </w:pPr>
      <w:r>
        <w:rPr>
          <w:rFonts w:ascii="Times New Roman" w:hAnsi="Times New Roman"/>
          <w:color w:val="000000"/>
          <w:sz w:val="24"/>
        </w:rPr>
        <w:t>Second quarter 2026 financial results: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Natural gas and oil sales, including realized hedging gains, were $332 million for the quarter.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Cash flows from operating activities was $170 million and operating cash flow before changes in working capital was $189 million or $0.65 per share.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Net income available to the Company was $9 million, or $0.03 per share and adjusted net income available to the Company was $8 million or $0.03 per share for the quarter.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Net income was $15 million and adjusted EBITDAX was $245 million.</w:t>
      </w:r>
    </w:p>
    <w:p>
      <w:pPr>
        <w:pStyle w:val="TextBody"/>
        <w:bidi w:val="0"/>
        <w:spacing w:before="200" w:after="283"/>
        <w:jc w:val="center"/>
        <w:rPr>
          <w:rFonts w:ascii="Times New Roman" w:hAnsi="Times New Roman"/>
          <w:b/>
          <w:i/>
          <w:color w:val="000000"/>
          <w:sz w:val="24"/>
        </w:rPr>
      </w:pPr>
      <w:r>
        <w:rPr>
          <w:rFonts w:ascii="Times New Roman" w:hAnsi="Times New Roman"/>
          <w:b/>
          <w:i/>
          <w:color w:val="000000"/>
          <w:sz w:val="24"/>
        </w:rPr>
        <w:t>Financial Results for the Three Months Ended June 30, 2026</w:t>
      </w:r>
    </w:p>
    <w:p>
      <w:pPr>
        <w:pStyle w:val="TextBody"/>
        <w:bidi w:val="0"/>
        <w:spacing w:before="200" w:after="283"/>
        <w:jc w:val="both"/>
        <w:rPr>
          <w:rFonts w:ascii="Times New Roman" w:hAnsi="Times New Roman"/>
          <w:sz w:val="20"/>
        </w:rPr>
      </w:pPr>
      <w:r>
        <w:rPr>
          <w:rFonts w:ascii="Times New Roman" w:hAnsi="Times New Roman"/>
          <w:color w:val="000000"/>
          <w:sz w:val="24"/>
        </w:rPr>
        <w:t>Comstock produced 113.1 Bcfe in the second quarter of 2026, which increased 16% from the first quarter of this year and increased 1% from the same period in 2025. During the second quarter of 2026, Comstock realized $2.55 per Mcfe before hedging and $2.93 per Mcfe after hedging. Comstock's natural gas and oil sales in the second quarter of 2026 were $331.6 million (including realized hedging gains of $43.3 million). Cash flows from operating activities in the second quarter of 2026 was $170.2 million. Operating cash flow before changes in working capital generated in the second quarter of 2026 was $188.5 million, and net income available to the</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4"/>
        </w:rPr>
      </w:pPr>
      <w:r>
        <w:rPr>
          <w:rFonts w:ascii="Times New Roman" w:hAnsi="Times New Roman"/>
          <w:color w:val="000000"/>
          <w:sz w:val="24"/>
        </w:rPr>
        <w:t>Company for the second quarter was $8.8 million or $0.03 per diluted share. The net income available to the Company in the quarter included a pre-tax $1.0 million unrealized gain on hedging contracts held for price risk management resulting from the change in future natural gas prices since the first quarter of 2026. Excluding this item, exploration expense and gain on sale of assets, adjusted net income available to the Company for the second quarter of 2026 was $8.3 million, or $0.03 per diluted share.</w:t>
      </w:r>
    </w:p>
    <w:p>
      <w:pPr>
        <w:pStyle w:val="TextBody"/>
        <w:bidi w:val="0"/>
        <w:spacing w:before="200" w:after="283"/>
        <w:jc w:val="both"/>
        <w:rPr>
          <w:rFonts w:ascii="Times New Roman" w:hAnsi="Times New Roman"/>
          <w:color w:val="000000"/>
          <w:sz w:val="24"/>
        </w:rPr>
      </w:pPr>
      <w:r>
        <w:rPr>
          <w:rFonts w:ascii="Times New Roman" w:hAnsi="Times New Roman"/>
          <w:color w:val="000000"/>
          <w:sz w:val="24"/>
        </w:rPr>
        <w:t>Comstock's production cost per Mcfe in the second quarter returned to normal levels and averaged $0.77 per Mcfe, which was comprised of $0.38 for gathering and transportation costs, $0.25 for lease operating costs, $0.06 for production and other taxes and $0.08 for cash general and administrative expenses. Comstock's unhedged operating margin was 70% in the second quarter of 2026 and 74% after hedging.</w:t>
      </w:r>
    </w:p>
    <w:p>
      <w:pPr>
        <w:pStyle w:val="TextBody"/>
        <w:bidi w:val="0"/>
        <w:spacing w:before="200" w:after="283"/>
        <w:jc w:val="center"/>
        <w:rPr>
          <w:rFonts w:ascii="Times New Roman" w:hAnsi="Times New Roman"/>
          <w:b/>
          <w:i/>
          <w:color w:val="000000"/>
          <w:sz w:val="24"/>
        </w:rPr>
      </w:pPr>
      <w:r>
        <w:rPr>
          <w:rFonts w:ascii="Times New Roman" w:hAnsi="Times New Roman"/>
          <w:b/>
          <w:i/>
          <w:color w:val="000000"/>
          <w:sz w:val="24"/>
        </w:rPr>
        <w:t>Financial Results for the Six Months Ended June 30, 2026</w:t>
      </w:r>
    </w:p>
    <w:p>
      <w:pPr>
        <w:pStyle w:val="TextBody"/>
        <w:bidi w:val="0"/>
        <w:spacing w:before="200" w:after="283"/>
        <w:jc w:val="both"/>
        <w:rPr>
          <w:rFonts w:ascii="Times New Roman" w:hAnsi="Times New Roman"/>
          <w:color w:val="000000"/>
          <w:sz w:val="24"/>
        </w:rPr>
      </w:pPr>
      <w:r>
        <w:rPr>
          <w:rFonts w:ascii="Times New Roman" w:hAnsi="Times New Roman"/>
          <w:color w:val="000000"/>
          <w:sz w:val="24"/>
        </w:rPr>
        <w:t>For the six months ended June 30, 2026, production was down 7% to 1,166 MMcfe per day compared to the same period in 2025. Comstock realized $3.35 per Mcfe before hedging and $3.18 per Mcfe after hedging for its production of 211.0 Bcfe. Natural gas and oil sales for the six months ended June 30, 2026 totaled $670.2 million (including realized hedging losses of $37.1 million). Cash flows from operating activities for the first six months of 2026 was $442.2 million. Operating cash flow before changes in working capital generated in the first six months of 2026 was $380.4 million, and net income available to the Company was $116.2 million or $0.40 per diluted share. Net income available to the Company for the first six months of 2026 included a pre-tax $83.8 million unrealized gain on hedging contracts held for price risk management. Excluding this item and exploration expense and gain on sale of assets, adjusted net income available to the Company for the six months ended June 30, 2026 was $47.7 million, or $0.16 per diluted share.</w:t>
      </w:r>
    </w:p>
    <w:p>
      <w:pPr>
        <w:pStyle w:val="TextBody"/>
        <w:bidi w:val="0"/>
        <w:spacing w:before="200" w:after="283"/>
        <w:jc w:val="both"/>
        <w:rPr>
          <w:rFonts w:ascii="Times New Roman" w:hAnsi="Times New Roman"/>
          <w:color w:val="000000"/>
          <w:sz w:val="24"/>
        </w:rPr>
      </w:pPr>
      <w:r>
        <w:rPr>
          <w:rFonts w:ascii="Times New Roman" w:hAnsi="Times New Roman"/>
          <w:color w:val="000000"/>
          <w:sz w:val="24"/>
        </w:rPr>
        <w:t>Comstock's production cost per Mcfe for the six months ended June 30, 2026 averaged $0.85 per Mcfe, which was comprised of $0.40 for gathering and transportation costs, $0.27 for lease operating costs, $0.09 for production and other taxes and $0.09 for cash general and administrative expenses. Comstock's unhedged operating margin was 75% for the first six months of 2026 and 73% after hedging.</w:t>
      </w:r>
    </w:p>
    <w:p>
      <w:pPr>
        <w:pStyle w:val="TextBody"/>
        <w:bidi w:val="0"/>
        <w:spacing w:before="200" w:after="283"/>
        <w:jc w:val="center"/>
        <w:rPr>
          <w:rFonts w:ascii="Times New Roman" w:hAnsi="Times New Roman"/>
          <w:b/>
          <w:i/>
          <w:color w:val="000000"/>
          <w:sz w:val="24"/>
        </w:rPr>
      </w:pPr>
      <w:r>
        <w:rPr>
          <w:rFonts w:ascii="Times New Roman" w:hAnsi="Times New Roman"/>
          <w:b/>
          <w:i/>
          <w:color w:val="000000"/>
          <w:sz w:val="24"/>
        </w:rPr>
        <w:t>Drilling Results</w:t>
      </w:r>
    </w:p>
    <w:p>
      <w:pPr>
        <w:pStyle w:val="TextBody"/>
        <w:bidi w:val="0"/>
        <w:spacing w:before="200" w:after="283"/>
        <w:jc w:val="both"/>
        <w:rPr>
          <w:rFonts w:ascii="Times New Roman" w:hAnsi="Times New Roman"/>
          <w:color w:val="000000"/>
          <w:sz w:val="24"/>
        </w:rPr>
      </w:pPr>
      <w:r>
        <w:rPr>
          <w:rFonts w:ascii="Times New Roman" w:hAnsi="Times New Roman"/>
          <w:color w:val="000000"/>
          <w:sz w:val="24"/>
        </w:rPr>
        <w:t>Comstock drilled 17 (15.6 net) operated horizontal Haynesville/Bossier shale wells in the second quarter of 2026, which had an average lateral length of 11,104 feet. Comstock turned 16 (12.7 net) operated wells to sales in the second quarter of 2026.</w:t>
      </w:r>
    </w:p>
    <w:p>
      <w:pPr>
        <w:pStyle w:val="TextBody"/>
        <w:bidi w:val="0"/>
        <w:spacing w:before="200" w:after="200"/>
        <w:jc w:val="both"/>
        <w:rPr>
          <w:rFonts w:ascii="Times New Roman" w:hAnsi="Times New Roman"/>
          <w:color w:val="000000"/>
          <w:sz w:val="24"/>
        </w:rPr>
      </w:pPr>
      <w:r>
        <w:rPr>
          <w:rFonts w:ascii="Times New Roman" w:hAnsi="Times New Roman"/>
          <w:color w:val="000000"/>
          <w:sz w:val="24"/>
        </w:rPr>
        <w:t>Since its last operational update in May 2026, Comstock has turned 17 (13.6 net) operated Haynesville/Bossier shale wells to sales. These wells had initial production rates that averaged 31 MMcf per day. The completed lateral length of these wells averaged 11,201 feet. Included in the wells turned to sales were five more successful Western Haynesville wells:</w:t>
      </w:r>
    </w:p>
    <w:tbl>
      <w:tblPr>
        <w:tblW w:w="5797" w:type="dxa"/>
        <w:jc w:val="left"/>
        <w:tblInd w:w="0" w:type="dxa"/>
        <w:tblLayout w:type="fixed"/>
        <w:tblCellMar>
          <w:top w:w="28" w:type="dxa"/>
          <w:left w:w="28" w:type="dxa"/>
          <w:bottom w:w="28" w:type="dxa"/>
          <w:right w:w="28" w:type="dxa"/>
        </w:tblCellMar>
      </w:tblPr>
      <w:tblGrid>
        <w:gridCol w:w="1636"/>
        <w:gridCol w:w="146"/>
        <w:gridCol w:w="961"/>
        <w:gridCol w:w="146"/>
        <w:gridCol w:w="1411"/>
        <w:gridCol w:w="146"/>
        <w:gridCol w:w="1351"/>
      </w:tblGrid>
      <w:tr>
        <w:trPr/>
        <w:tc>
          <w:tcPr>
            <w:tcW w:w="1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r>
      <w:tr>
        <w:trPr/>
        <w:tc>
          <w:tcPr>
            <w:tcW w:w="1636" w:type="dxa"/>
            <w:tcBorders>
              <w:bottom w:val="single" w:sz="4" w:space="0" w:color="000000"/>
            </w:tcBorders>
            <w:tcMar>
              <w:top w:w="0" w:type="dxa"/>
              <w:left w:w="0" w:type="dxa"/>
              <w:right w:w="0" w:type="dxa"/>
            </w:tcMar>
            <w:vAlign w:val="center"/>
          </w:tcPr>
          <w:p>
            <w:pPr>
              <w:pStyle w:val="TableContents"/>
              <w:bidi w:val="0"/>
              <w:jc w:val="left"/>
              <w:rPr/>
            </w:pPr>
            <w:r>
              <w:rPr/>
              <w:t> </w:t>
            </w:r>
          </w:p>
          <w:p>
            <w:pPr>
              <w:pStyle w:val="TableContents"/>
              <w:bidi w:val="0"/>
              <w:jc w:val="left"/>
              <w:rPr/>
            </w:pPr>
            <w:r>
              <w:rPr/>
              <w:t> </w:t>
            </w:r>
          </w:p>
          <w:p>
            <w:pPr>
              <w:pStyle w:val="TableContents"/>
              <w:bidi w:val="0"/>
              <w:jc w:val="center"/>
              <w:rPr/>
            </w:pPr>
            <w:r>
              <w:rPr/>
              <w:t> </w:t>
            </w:r>
          </w:p>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Well</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tcMar>
              <w:top w:w="0" w:type="dxa"/>
              <w:left w:w="0" w:type="dxa"/>
              <w:right w:w="0" w:type="dxa"/>
            </w:tcMar>
            <w:vAlign w:val="center"/>
          </w:tcPr>
          <w:p>
            <w:pPr>
              <w:pStyle w:val="TableContents"/>
              <w:bidi w:val="0"/>
              <w:jc w:val="left"/>
              <w:rPr/>
            </w:pPr>
            <w:r>
              <w:rPr/>
              <w:t> </w:t>
            </w:r>
          </w:p>
          <w:p>
            <w:pPr>
              <w:pStyle w:val="TableContents"/>
              <w:bidi w:val="0"/>
              <w:jc w:val="center"/>
              <w:rPr>
                <w:rFonts w:ascii="Times New Roman" w:hAnsi="Times New Roman"/>
                <w:sz w:val="22"/>
              </w:rPr>
            </w:pPr>
            <w:r>
              <w:rPr>
                <w:rFonts w:ascii="Times New Roman" w:hAnsi="Times New Roman"/>
                <w:b/>
                <w:color w:val="000000"/>
                <w:sz w:val="22"/>
              </w:rPr>
              <w:t>Vertical</w:t>
            </w:r>
            <w:r>
              <w:rPr>
                <w:rFonts w:ascii="Times New Roman" w:hAnsi="Times New Roman"/>
                <w:color w:val="000000"/>
                <w:sz w:val="22"/>
              </w:rPr>
              <w:t xml:space="preserve"> </w:t>
            </w:r>
          </w:p>
          <w:p>
            <w:pPr>
              <w:pStyle w:val="TableContents"/>
              <w:bidi w:val="0"/>
              <w:jc w:val="center"/>
              <w:rPr>
                <w:rFonts w:ascii="Times New Roman" w:hAnsi="Times New Roman"/>
                <w:sz w:val="22"/>
              </w:rPr>
            </w:pPr>
            <w:r>
              <w:rPr>
                <w:rFonts w:ascii="Times New Roman" w:hAnsi="Times New Roman"/>
                <w:b/>
                <w:color w:val="000000"/>
                <w:sz w:val="22"/>
              </w:rPr>
              <w:t>Depth</w:t>
            </w:r>
            <w:r>
              <w:rPr>
                <w:rFonts w:ascii="Times New Roman" w:hAnsi="Times New Roman"/>
                <w:color w:val="000000"/>
                <w:sz w:val="22"/>
              </w:rPr>
              <w:t xml:space="preserve"> </w:t>
            </w:r>
          </w:p>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(feet)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11" w:type="dxa"/>
            <w:tcBorders>
              <w:bottom w:val="single" w:sz="4" w:space="0" w:color="000000"/>
            </w:tcBorders>
            <w:tcMar>
              <w:top w:w="0" w:type="dxa"/>
              <w:left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jc w:val="center"/>
              <w:rPr>
                <w:rFonts w:ascii="Times New Roman" w:hAnsi="Times New Roman"/>
                <w:b/>
                <w:color w:val="000000"/>
                <w:sz w:val="22"/>
              </w:rPr>
            </w:pPr>
            <w:r>
              <w:rPr>
                <w:rFonts w:ascii="Times New Roman" w:hAnsi="Times New Roman"/>
                <w:b/>
                <w:color w:val="000000"/>
                <w:sz w:val="22"/>
              </w:rPr>
              <w:t>Completed</w:t>
            </w:r>
          </w:p>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Lateral (feet)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351"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22"/>
              </w:rPr>
            </w:pPr>
            <w:r>
              <w:rPr>
                <w:rFonts w:ascii="Times New Roman" w:hAnsi="Times New Roman"/>
                <w:b/>
                <w:color w:val="000000"/>
                <w:sz w:val="22"/>
              </w:rPr>
              <w:t>Initial</w:t>
            </w:r>
          </w:p>
          <w:p>
            <w:pPr>
              <w:pStyle w:val="TableContents"/>
              <w:bidi w:val="0"/>
              <w:jc w:val="center"/>
              <w:rPr>
                <w:rFonts w:ascii="Times New Roman" w:hAnsi="Times New Roman"/>
                <w:b/>
                <w:color w:val="000000"/>
                <w:sz w:val="22"/>
              </w:rPr>
            </w:pPr>
            <w:r>
              <w:rPr>
                <w:rFonts w:ascii="Times New Roman" w:hAnsi="Times New Roman"/>
                <w:b/>
                <w:color w:val="000000"/>
                <w:sz w:val="22"/>
              </w:rPr>
              <w:t>Production</w:t>
            </w:r>
          </w:p>
          <w:p>
            <w:pPr>
              <w:pStyle w:val="TableContents"/>
              <w:bidi w:val="0"/>
              <w:jc w:val="center"/>
              <w:rPr>
                <w:rFonts w:ascii="Times New Roman" w:hAnsi="Times New Roman"/>
                <w:b/>
                <w:color w:val="000000"/>
                <w:sz w:val="22"/>
              </w:rPr>
            </w:pPr>
            <w:r>
              <w:rPr>
                <w:rFonts w:ascii="Times New Roman" w:hAnsi="Times New Roman"/>
                <w:b/>
                <w:color w:val="000000"/>
                <w:sz w:val="22"/>
              </w:rPr>
              <w:t>Rate (MMcf</w:t>
            </w:r>
          </w:p>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per day)</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Ericson KN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15,414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7,975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30</w:t>
            </w:r>
          </w:p>
        </w:tc>
      </w:tr>
      <w:tr>
        <w:trPr/>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Jensen WW #1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14,272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9,243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31</w:t>
            </w:r>
          </w:p>
        </w:tc>
      </w:tr>
      <w:tr>
        <w:trPr/>
        <w:tc>
          <w:tcPr>
            <w:tcW w:w="1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Glass KG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14,972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11,182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35</w:t>
            </w:r>
          </w:p>
        </w:tc>
      </w:tr>
      <w:tr>
        <w:trPr/>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Lotspeich BJ #1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17,903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9,805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34</w:t>
            </w:r>
          </w:p>
        </w:tc>
      </w:tr>
      <w:tr>
        <w:trPr/>
        <w:tc>
          <w:tcPr>
            <w:tcW w:w="1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Jones LA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16,069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10,191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33</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center"/>
        <w:rPr>
          <w:rFonts w:ascii="Times New Roman" w:hAnsi="Times New Roman"/>
          <w:b/>
          <w:i/>
          <w:color w:val="000000"/>
          <w:sz w:val="24"/>
        </w:rPr>
      </w:pPr>
      <w:r>
        <w:rPr>
          <w:rFonts w:ascii="Times New Roman" w:hAnsi="Times New Roman"/>
          <w:b/>
          <w:i/>
          <w:color w:val="000000"/>
          <w:sz w:val="24"/>
        </w:rPr>
        <w:t>Earnings Call Information</w:t>
      </w:r>
    </w:p>
    <w:p>
      <w:pPr>
        <w:pStyle w:val="TextBody"/>
        <w:bidi w:val="0"/>
        <w:spacing w:before="200" w:after="283"/>
        <w:jc w:val="both"/>
        <w:rPr>
          <w:rFonts w:ascii="Times New Roman" w:hAnsi="Times New Roman"/>
          <w:sz w:val="20"/>
        </w:rPr>
      </w:pPr>
      <w:r>
        <w:rPr>
          <w:rFonts w:ascii="Times New Roman" w:hAnsi="Times New Roman"/>
          <w:color w:val="000000"/>
          <w:sz w:val="24"/>
        </w:rPr>
        <w:t xml:space="preserve">Comstock has planned a conference call for 10:00 a.m. Central Time on July 30, 2026, to discuss the second quarter 2026 operational and financial results. Investors wishing to listen should visit the Company's website at </w:t>
      </w:r>
      <w:r>
        <w:rPr>
          <w:rFonts w:ascii="Times New Roman" w:hAnsi="Times New Roman"/>
          <w:sz w:val="24"/>
        </w:rPr>
        <w:t>www.comstockresources.com</w:t>
      </w:r>
      <w:r>
        <w:rPr>
          <w:rFonts w:ascii="Times New Roman" w:hAnsi="Times New Roman"/>
          <w:color w:val="000000"/>
          <w:sz w:val="20"/>
        </w:rPr>
        <w:t xml:space="preserve"> </w:t>
      </w:r>
      <w:r>
        <w:rPr>
          <w:rFonts w:ascii="Times New Roman" w:hAnsi="Times New Roman"/>
          <w:color w:val="000000"/>
          <w:sz w:val="24"/>
        </w:rPr>
        <w:t>for a live webcast. Investors wishing to participate in the conference call telephonically will need to register at:</w:t>
      </w:r>
    </w:p>
    <w:p>
      <w:pPr>
        <w:pStyle w:val="TextBody"/>
        <w:bidi w:val="0"/>
        <w:jc w:val="both"/>
        <w:rPr>
          <w:rFonts w:ascii="Times New Roman" w:hAnsi="Times New Roman"/>
          <w:sz w:val="20"/>
        </w:rPr>
      </w:pPr>
      <w:r>
        <w:rPr>
          <w:rFonts w:ascii="Times New Roman" w:hAnsi="Times New Roman"/>
          <w:sz w:val="24"/>
        </w:rPr>
        <w:t>https://register-conf.media-server.com/register/BIb1b9c89894d24cf390641104a3f40885</w:t>
      </w:r>
      <w:r>
        <w:rPr>
          <w:rFonts w:ascii="Times New Roman" w:hAnsi="Times New Roman"/>
          <w:color w:val="000000"/>
          <w:sz w:val="24"/>
        </w:rPr>
        <w:t>.</w:t>
      </w:r>
    </w:p>
    <w:p>
      <w:pPr>
        <w:pStyle w:val="TextBody"/>
        <w:bidi w:val="0"/>
        <w:jc w:val="both"/>
        <w:rPr>
          <w:rFonts w:ascii="Times New Roman" w:hAnsi="Times New Roman"/>
          <w:sz w:val="20"/>
        </w:rPr>
      </w:pPr>
      <w:r>
        <w:rPr>
          <w:rFonts w:ascii="Times New Roman" w:hAnsi="Times New Roman"/>
          <w:color w:val="000000"/>
          <w:sz w:val="24"/>
        </w:rPr>
        <w:t xml:space="preserve">Upon registering to participate in the conference call, participants will receive the dial-in number and a personal PIN number to access the conference call. On the day of the call, please dial in at least 15 minutes in advance to ensure a timely connection to the call. The conference call will also be broadcast live in listen-only mode and can be accessed via the website URL: </w:t>
      </w:r>
      <w:r>
        <w:rPr>
          <w:rFonts w:ascii="Times New Roman" w:hAnsi="Times New Roman"/>
          <w:sz w:val="24"/>
        </w:rPr>
        <w:t>https://edge.media-server.com/mmc/p/xprpo4xr</w:t>
      </w:r>
      <w:r>
        <w:rPr>
          <w:rFonts w:ascii="Times New Roman" w:hAnsi="Times New Roman"/>
          <w:color w:val="000000"/>
          <w:sz w:val="24"/>
        </w:rPr>
        <w:t>.</w:t>
      </w:r>
    </w:p>
    <w:p>
      <w:pPr>
        <w:pStyle w:val="TextBody"/>
        <w:bidi w:val="0"/>
        <w:spacing w:before="200" w:after="283"/>
        <w:jc w:val="both"/>
        <w:rPr>
          <w:rFonts w:ascii="Times New Roman" w:hAnsi="Times New Roman"/>
          <w:sz w:val="20"/>
        </w:rPr>
      </w:pPr>
      <w:r>
        <w:rPr>
          <w:rFonts w:ascii="Times New Roman" w:hAnsi="Times New Roman"/>
          <w:color w:val="000000"/>
          <w:sz w:val="24"/>
        </w:rPr>
        <w:t xml:space="preserve">If you are unable to participate in the original conference call, a web replay will be available for twelve months beginning at 1:00 p.m. CT on July 30, 2026. The replay of the conference can be accessed using the webcast link: </w:t>
      </w:r>
      <w:r>
        <w:rPr>
          <w:rFonts w:ascii="Times New Roman" w:hAnsi="Times New Roman"/>
          <w:sz w:val="24"/>
        </w:rPr>
        <w:t>https://edge.media-server.com/mmc/p/xprpo4xr</w:t>
      </w:r>
      <w:r>
        <w:rPr>
          <w:rFonts w:ascii="Times New Roman" w:hAnsi="Times New Roman"/>
          <w:color w:val="000000"/>
          <w:sz w:val="24"/>
        </w:rPr>
        <w:t>.</w:t>
      </w:r>
    </w:p>
    <w:p>
      <w:pPr>
        <w:pStyle w:val="TextBody"/>
        <w:bidi w:val="0"/>
        <w:spacing w:before="200" w:after="283"/>
        <w:jc w:val="both"/>
        <w:rPr>
          <w:rFonts w:ascii="Times New Roman" w:hAnsi="Times New Roman"/>
          <w:b/>
          <w:i/>
          <w:color w:val="000000"/>
          <w:sz w:val="24"/>
        </w:rPr>
      </w:pPr>
      <w:r>
        <w:rPr>
          <w:rFonts w:ascii="Times New Roman" w:hAnsi="Times New Roman"/>
          <w:b/>
          <w:i/>
          <w:color w:val="000000"/>
          <w:sz w:val="24"/>
        </w:rPr>
        <w:t>This press release may contain "forward-looking statements" as that term is defined in the Private Securities Litigation Reform Act of 1995. Such statements are based on management's current expectations and are subject to a number of factors and uncertainties which could cause actual results to differ materially from those described herein. Although the Company believes the expectations in such statements to be reasonable, there can be no assurance that such expectations will prove to be correct. Information concerning the assumptions, uncertainties and risks that may affect the actual results can be found in the Company's filings with the Securities and Exchange Commission ("SEC") available on the Company's website or the SEC's website at sec.gov.</w:t>
      </w:r>
    </w:p>
    <w:p>
      <w:pPr>
        <w:pStyle w:val="TextBody"/>
        <w:bidi w:val="0"/>
        <w:spacing w:before="200" w:after="283"/>
        <w:jc w:val="both"/>
        <w:rPr>
          <w:rFonts w:ascii="Times New Roman" w:hAnsi="Times New Roman"/>
          <w:b/>
          <w:i/>
          <w:color w:val="000000"/>
          <w:sz w:val="24"/>
        </w:rPr>
      </w:pPr>
      <w:r>
        <w:rPr>
          <w:rFonts w:ascii="Times New Roman" w:hAnsi="Times New Roman"/>
          <w:b/>
          <w:i/>
          <w:color w:val="000000"/>
          <w:sz w:val="24"/>
        </w:rPr>
        <w:t>Comstock Resources, Inc. is a leading independent natural gas producer with operations focused on the development of the Haynesville shale in North Louisiana and East Texas. The Company's stock is traded on the NYSE and the NYSE Texas under the symbol CRK.</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COMSTOCK RESOURCES, INC.</w:t>
      </w:r>
    </w:p>
    <w:p>
      <w:pPr>
        <w:pStyle w:val="TextBody"/>
        <w:bidi w:val="0"/>
        <w:jc w:val="center"/>
        <w:rPr>
          <w:rFonts w:ascii="Times New Roman" w:hAnsi="Times New Roman"/>
          <w:b/>
          <w:color w:val="000000"/>
          <w:sz w:val="24"/>
        </w:rPr>
      </w:pPr>
      <w:r>
        <w:rPr>
          <w:rFonts w:ascii="Times New Roman" w:hAnsi="Times New Roman"/>
          <w:b/>
          <w:color w:val="000000"/>
          <w:sz w:val="24"/>
        </w:rPr>
        <w:t>CONSOLIDATED STATEMENTS OF OPERATIONS</w:t>
      </w:r>
    </w:p>
    <w:p>
      <w:pPr>
        <w:pStyle w:val="TextBody"/>
        <w:bidi w:val="0"/>
        <w:jc w:val="center"/>
        <w:rPr>
          <w:rFonts w:ascii="Times New Roman" w:hAnsi="Times New Roman"/>
          <w:i/>
          <w:color w:val="000000"/>
          <w:sz w:val="20"/>
        </w:rPr>
      </w:pPr>
      <w:r>
        <w:rPr>
          <w:rFonts w:ascii="Times New Roman" w:hAnsi="Times New Roman"/>
          <w:i/>
          <w:color w:val="000000"/>
          <w:sz w:val="20"/>
        </w:rPr>
        <w:t>(In thousands, except per share amounts)</w:t>
      </w:r>
    </w:p>
    <w:p>
      <w:pPr>
        <w:pStyle w:val="TextBody"/>
        <w:bidi w:val="0"/>
        <w:jc w:val="left"/>
        <w:rPr/>
      </w:pPr>
      <w:r>
        <w:rPr/>
        <w:t> </w:t>
      </w:r>
    </w:p>
    <w:p>
      <w:pPr>
        <w:pStyle w:val="TextBody"/>
        <w:bidi w:val="0"/>
        <w:jc w:val="left"/>
        <w:rPr/>
      </w:pPr>
      <w:r>
        <w:rPr/>
        <w:t> </w:t>
      </w:r>
    </w:p>
    <w:p>
      <w:pPr>
        <w:pStyle w:val="TextBody"/>
        <w:bidi w:val="0"/>
        <w:jc w:val="left"/>
        <w:rPr/>
      </w:pPr>
      <w:r>
        <w:rPr/>
        <w:t> </w:t>
      </w:r>
    </w:p>
    <w:tbl>
      <w:tblPr>
        <w:tblW w:w="9377" w:type="dxa"/>
        <w:jc w:val="left"/>
        <w:tblInd w:w="0" w:type="dxa"/>
        <w:tblLayout w:type="fixed"/>
        <w:tblCellMar>
          <w:top w:w="28" w:type="dxa"/>
          <w:left w:w="28" w:type="dxa"/>
          <w:bottom w:w="28" w:type="dxa"/>
          <w:right w:w="28" w:type="dxa"/>
        </w:tblCellMar>
      </w:tblPr>
      <w:tblGrid>
        <w:gridCol w:w="3756"/>
        <w:gridCol w:w="146"/>
        <w:gridCol w:w="196"/>
        <w:gridCol w:w="691"/>
        <w:gridCol w:w="166"/>
        <w:gridCol w:w="146"/>
        <w:gridCol w:w="196"/>
        <w:gridCol w:w="751"/>
        <w:gridCol w:w="166"/>
        <w:gridCol w:w="146"/>
        <w:gridCol w:w="196"/>
        <w:gridCol w:w="751"/>
        <w:gridCol w:w="166"/>
        <w:gridCol w:w="146"/>
        <w:gridCol w:w="196"/>
        <w:gridCol w:w="751"/>
        <w:gridCol w:w="811"/>
      </w:tblGrid>
      <w:tr>
        <w:trPr/>
        <w:tc>
          <w:tcPr>
            <w:tcW w:w="37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37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w:t>
              <w:br/>
              <w:t>June 30,</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Natural gas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287,745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339,225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706,020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751,511</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Oil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1,443</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7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natural gas and oil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288,221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339,966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707,254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752,954</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Gas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63,481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130,296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229,982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230,162</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Gain on sale of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375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Total revenues and other operating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353,282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470,262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940,636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983,116</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Production and ad valorem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17,621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21,734</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Gathering and transportation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43,331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41,759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85,135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84,376</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Lease operating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28,150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31,109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56,431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66,109</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Exploration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2,150</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Depreciation, depletion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167,432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158,379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308,964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326,270</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Gas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63,014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126,714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225,870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243,483</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17,151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35,373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23,380</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375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6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330,701</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5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380,816</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5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743,164</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5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767,502</w:t>
            </w:r>
          </w:p>
        </w:tc>
        <w:tc>
          <w:tcPr>
            <w:tcW w:w="8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r>
      <w:tr>
        <w:trPr/>
        <w:tc>
          <w:tcPr>
            <w:tcW w:w="37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22,581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89,446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197,472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215,614</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income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Gain (loss) from derivative financial instruments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44,365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235,847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46,761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(94,492</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7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2,439</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(55,042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(55,178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(108,103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(110,015</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w:t>
            </w:r>
          </w:p>
        </w:tc>
      </w:tr>
      <w:tr>
        <w:trPr/>
        <w:tc>
          <w:tcPr>
            <w:tcW w:w="375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Total other income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6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(10,418</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5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182,769</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5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(60,820</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5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(202,068</w:t>
            </w:r>
          </w:p>
        </w:tc>
        <w:tc>
          <w:tcPr>
            <w:tcW w:w="8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7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272,215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136,652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13,546</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(Provision for) benefit from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(141,487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1,789</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130,728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127,499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15,335</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 attributable to noncontrolling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(11,771</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7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 available to the Company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8,766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124,842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116,216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3,564</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0.45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0.40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0.05</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7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0.44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0.40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0.05</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Weighted average shares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291,612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290,604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291,465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290,455</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7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291,612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294,247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291,465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294,026</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COMSTOCK RESOURCES, INC.</w:t>
      </w:r>
    </w:p>
    <w:p>
      <w:pPr>
        <w:pStyle w:val="TextBody"/>
        <w:bidi w:val="0"/>
        <w:jc w:val="center"/>
        <w:rPr>
          <w:rFonts w:ascii="Times New Roman" w:hAnsi="Times New Roman"/>
          <w:b/>
          <w:color w:val="000000"/>
          <w:sz w:val="24"/>
        </w:rPr>
      </w:pPr>
      <w:r>
        <w:rPr>
          <w:rFonts w:ascii="Times New Roman" w:hAnsi="Times New Roman"/>
          <w:b/>
          <w:color w:val="000000"/>
          <w:sz w:val="24"/>
        </w:rPr>
        <w:t>OPERATING RESULTS</w:t>
      </w:r>
    </w:p>
    <w:p>
      <w:pPr>
        <w:pStyle w:val="TextBody"/>
        <w:bidi w:val="0"/>
        <w:jc w:val="center"/>
        <w:rPr>
          <w:rFonts w:ascii="Times New Roman" w:hAnsi="Times New Roman"/>
          <w:i/>
          <w:color w:val="000000"/>
          <w:sz w:val="20"/>
        </w:rPr>
      </w:pPr>
      <w:r>
        <w:rPr>
          <w:rFonts w:ascii="Times New Roman" w:hAnsi="Times New Roman"/>
          <w:i/>
          <w:color w:val="000000"/>
          <w:sz w:val="20"/>
        </w:rPr>
        <w:t>(In thousands, except per unit amounts)</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229"/>
        <w:gridCol w:w="146"/>
        <w:gridCol w:w="216"/>
        <w:gridCol w:w="765"/>
        <w:gridCol w:w="283"/>
        <w:gridCol w:w="161"/>
        <w:gridCol w:w="216"/>
        <w:gridCol w:w="765"/>
        <w:gridCol w:w="256"/>
        <w:gridCol w:w="146"/>
        <w:gridCol w:w="200"/>
        <w:gridCol w:w="707"/>
        <w:gridCol w:w="262"/>
        <w:gridCol w:w="149"/>
        <w:gridCol w:w="200"/>
        <w:gridCol w:w="707"/>
        <w:gridCol w:w="797"/>
      </w:tblGrid>
      <w:tr>
        <w:trPr/>
        <w:tc>
          <w:tcPr>
            <w:tcW w:w="42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r>
      <w:tr>
        <w:trPr/>
        <w:tc>
          <w:tcPr>
            <w:tcW w:w="4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June 30,</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2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7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7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Natural gas production (MMcf)</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113,069</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112,164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210,924</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227,193</w:t>
            </w:r>
          </w:p>
        </w:tc>
        <w:tc>
          <w:tcPr>
            <w:tcW w:w="7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Oil production (Mbbls)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w:t>
            </w:r>
          </w:p>
        </w:tc>
        <w:tc>
          <w:tcPr>
            <w:tcW w:w="7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production (MMcfe)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113,102</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112,238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211,021</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227,329</w:t>
            </w:r>
          </w:p>
        </w:tc>
        <w:tc>
          <w:tcPr>
            <w:tcW w:w="7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Natural gas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287,745</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339,225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706,020</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751,511</w:t>
            </w:r>
          </w:p>
        </w:tc>
        <w:tc>
          <w:tcPr>
            <w:tcW w:w="7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Natural gas hedging settlements </w:t>
            </w:r>
            <w:r>
              <w:rPr>
                <w:rFonts w:ascii="Times New Roman" w:hAnsi="Times New Roman"/>
                <w:color w:val="000000"/>
                <w:sz w:val="12"/>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43,333</w:t>
            </w:r>
          </w:p>
        </w:tc>
        <w:tc>
          <w:tcPr>
            <w:tcW w:w="2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4,286</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(37,055</w:t>
            </w:r>
          </w:p>
        </w:tc>
        <w:tc>
          <w:tcPr>
            <w:tcW w:w="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(3,673</w:t>
            </w:r>
          </w:p>
        </w:tc>
        <w:tc>
          <w:tcPr>
            <w:tcW w:w="79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422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Total natural gas including hedging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331,078</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343,511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668,965</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747,838</w:t>
            </w:r>
          </w:p>
        </w:tc>
        <w:tc>
          <w:tcPr>
            <w:tcW w:w="7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Oil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476</w:t>
            </w:r>
          </w:p>
        </w:tc>
        <w:tc>
          <w:tcPr>
            <w:tcW w:w="2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741</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1,234</w:t>
            </w:r>
          </w:p>
        </w:tc>
        <w:tc>
          <w:tcPr>
            <w:tcW w:w="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1,443</w:t>
            </w:r>
          </w:p>
        </w:tc>
        <w:tc>
          <w:tcPr>
            <w:tcW w:w="79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22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Total natural gas and oil sales including hedging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331,554</w:t>
            </w:r>
          </w:p>
        </w:tc>
        <w:tc>
          <w:tcPr>
            <w:tcW w:w="2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344,252</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670,199</w:t>
            </w:r>
          </w:p>
        </w:tc>
        <w:tc>
          <w:tcPr>
            <w:tcW w:w="2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749,281</w:t>
            </w:r>
          </w:p>
        </w:tc>
        <w:tc>
          <w:tcPr>
            <w:tcW w:w="797"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22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Average natural gas price (per Mcf)</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2.54</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3.35</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3.31</w:t>
            </w:r>
          </w:p>
        </w:tc>
        <w:tc>
          <w:tcPr>
            <w:tcW w:w="7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Average natural gas price including hedging (per Mcf)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2.93</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3.17</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3.29</w:t>
            </w:r>
          </w:p>
        </w:tc>
        <w:tc>
          <w:tcPr>
            <w:tcW w:w="7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Average oil price (per barrel)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95.20</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57.00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77.13</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62.74</w:t>
            </w:r>
          </w:p>
        </w:tc>
        <w:tc>
          <w:tcPr>
            <w:tcW w:w="7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Average price (per Mcfe)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2.55</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3.35</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3.31</w:t>
            </w:r>
          </w:p>
        </w:tc>
        <w:tc>
          <w:tcPr>
            <w:tcW w:w="7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Average price including hedging (per Mcfe)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2.93</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3.07</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3.18</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3.30</w:t>
            </w:r>
          </w:p>
        </w:tc>
        <w:tc>
          <w:tcPr>
            <w:tcW w:w="7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Production and ad valorem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7,196</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10,555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17,621</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21,734</w:t>
            </w:r>
          </w:p>
        </w:tc>
        <w:tc>
          <w:tcPr>
            <w:tcW w:w="7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Gathering and transportation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43,331</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41,759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85,135</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84,376</w:t>
            </w:r>
          </w:p>
        </w:tc>
        <w:tc>
          <w:tcPr>
            <w:tcW w:w="7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Lease operating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28,150</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31,109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56,431</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66,109</w:t>
            </w:r>
          </w:p>
        </w:tc>
        <w:tc>
          <w:tcPr>
            <w:tcW w:w="7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Cash general and administrative </w:t>
            </w:r>
            <w:r>
              <w:rPr>
                <w:rFonts w:ascii="Times New Roman" w:hAnsi="Times New Roman"/>
                <w:color w:val="000000"/>
                <w:sz w:val="12"/>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8,792</w:t>
            </w:r>
          </w:p>
        </w:tc>
        <w:tc>
          <w:tcPr>
            <w:tcW w:w="2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6,771</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19,570</w:t>
            </w:r>
          </w:p>
        </w:tc>
        <w:tc>
          <w:tcPr>
            <w:tcW w:w="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13,411</w:t>
            </w:r>
          </w:p>
        </w:tc>
        <w:tc>
          <w:tcPr>
            <w:tcW w:w="79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22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Total production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87,469</w:t>
            </w:r>
          </w:p>
        </w:tc>
        <w:tc>
          <w:tcPr>
            <w:tcW w:w="2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90,194</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178,757</w:t>
            </w:r>
          </w:p>
        </w:tc>
        <w:tc>
          <w:tcPr>
            <w:tcW w:w="2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185,630</w:t>
            </w:r>
          </w:p>
        </w:tc>
        <w:tc>
          <w:tcPr>
            <w:tcW w:w="797"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22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Production and ad valorem taxes (per Mcfe)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0.06</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0.09</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0.10</w:t>
            </w:r>
          </w:p>
        </w:tc>
        <w:tc>
          <w:tcPr>
            <w:tcW w:w="7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Gathering and transportation (per Mcfe)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0.38</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0.37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0.40</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0.37</w:t>
            </w:r>
          </w:p>
        </w:tc>
        <w:tc>
          <w:tcPr>
            <w:tcW w:w="7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Lease operating (per Mcfe)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0.25</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0.27</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0.29</w:t>
            </w:r>
          </w:p>
        </w:tc>
        <w:tc>
          <w:tcPr>
            <w:tcW w:w="7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general and administrative (per Mcfe)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0.08</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0.09</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0.06</w:t>
            </w:r>
          </w:p>
        </w:tc>
        <w:tc>
          <w:tcPr>
            <w:tcW w:w="79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22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Total production costs (per Mcfe)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0.77</w:t>
            </w:r>
          </w:p>
        </w:tc>
        <w:tc>
          <w:tcPr>
            <w:tcW w:w="2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0.80</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0.85</w:t>
            </w:r>
          </w:p>
        </w:tc>
        <w:tc>
          <w:tcPr>
            <w:tcW w:w="2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0.82</w:t>
            </w:r>
          </w:p>
        </w:tc>
        <w:tc>
          <w:tcPr>
            <w:tcW w:w="797"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22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Unhedged operating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w:t>
            </w:r>
          </w:p>
        </w:tc>
        <w:tc>
          <w:tcPr>
            <w:tcW w:w="7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Hedged operating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w:t>
            </w:r>
          </w:p>
        </w:tc>
        <w:tc>
          <w:tcPr>
            <w:tcW w:w="7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Gas services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63,481</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130,296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229,982</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230,162</w:t>
            </w:r>
          </w:p>
        </w:tc>
        <w:tc>
          <w:tcPr>
            <w:tcW w:w="7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Gas services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63,014</w:t>
            </w:r>
          </w:p>
        </w:tc>
        <w:tc>
          <w:tcPr>
            <w:tcW w:w="2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126,714</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225,870</w:t>
            </w:r>
          </w:p>
        </w:tc>
        <w:tc>
          <w:tcPr>
            <w:tcW w:w="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243,483</w:t>
            </w:r>
          </w:p>
        </w:tc>
        <w:tc>
          <w:tcPr>
            <w:tcW w:w="79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22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Gas services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467</w:t>
            </w:r>
          </w:p>
        </w:tc>
        <w:tc>
          <w:tcPr>
            <w:tcW w:w="2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3,582</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4,112</w:t>
            </w:r>
          </w:p>
        </w:tc>
        <w:tc>
          <w:tcPr>
            <w:tcW w:w="2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(13,321</w:t>
            </w:r>
          </w:p>
        </w:tc>
        <w:tc>
          <w:tcPr>
            <w:tcW w:w="797"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422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Natural Gas and Oil Capital Expenditures: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2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Unproved property acquisitions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20,409</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9,932</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39,449</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19,616</w:t>
            </w:r>
          </w:p>
        </w:tc>
        <w:tc>
          <w:tcPr>
            <w:tcW w:w="79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22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natural gas and oil properties acquisitions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20,409</w:t>
            </w:r>
          </w:p>
        </w:tc>
        <w:tc>
          <w:tcPr>
            <w:tcW w:w="2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9,932</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39,449</w:t>
            </w:r>
          </w:p>
        </w:tc>
        <w:tc>
          <w:tcPr>
            <w:tcW w:w="2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19,616</w:t>
            </w:r>
          </w:p>
        </w:tc>
        <w:tc>
          <w:tcPr>
            <w:tcW w:w="797"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22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Exploration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22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Development leasehold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4,006</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5,295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7,374</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8,851</w:t>
            </w:r>
          </w:p>
        </w:tc>
        <w:tc>
          <w:tcPr>
            <w:tcW w:w="79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22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Exploratory drilling and completion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174,359</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130,997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349,134</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231,104</w:t>
            </w:r>
          </w:p>
        </w:tc>
        <w:tc>
          <w:tcPr>
            <w:tcW w:w="79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22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Development drilling and completion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199,356</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123,991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357,915</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269,569</w:t>
            </w:r>
          </w:p>
        </w:tc>
        <w:tc>
          <w:tcPr>
            <w:tcW w:w="79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22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Other development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12,707</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7,919</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19,277</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8,434</w:t>
            </w:r>
          </w:p>
        </w:tc>
        <w:tc>
          <w:tcPr>
            <w:tcW w:w="79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4229"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Total exploration and development capital expenditures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390,428</w:t>
            </w:r>
          </w:p>
        </w:tc>
        <w:tc>
          <w:tcPr>
            <w:tcW w:w="2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268,202</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733,700</w:t>
            </w:r>
          </w:p>
        </w:tc>
        <w:tc>
          <w:tcPr>
            <w:tcW w:w="2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517,958</w:t>
            </w:r>
          </w:p>
        </w:tc>
        <w:tc>
          <w:tcPr>
            <w:tcW w:w="7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left"/>
        <w:rPr/>
      </w:pPr>
      <w:r>
        <w:rPr/>
        <w:t> </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(1)</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Included in gain (loss) from derivative financial instruments in operating results.</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(2)</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Excludes stock-based compensation.</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COMSTOCK RESOURCES, INC.</w:t>
      </w:r>
    </w:p>
    <w:p>
      <w:pPr>
        <w:pStyle w:val="TextBody"/>
        <w:bidi w:val="0"/>
        <w:jc w:val="center"/>
        <w:rPr>
          <w:rFonts w:ascii="Times New Roman" w:hAnsi="Times New Roman"/>
          <w:b/>
          <w:color w:val="000000"/>
          <w:sz w:val="24"/>
        </w:rPr>
      </w:pPr>
      <w:r>
        <w:rPr>
          <w:rFonts w:ascii="Times New Roman" w:hAnsi="Times New Roman"/>
          <w:b/>
          <w:color w:val="000000"/>
          <w:sz w:val="24"/>
        </w:rPr>
        <w:t>NON-GAAP FINANCIAL MEASURES</w:t>
      </w:r>
    </w:p>
    <w:p>
      <w:pPr>
        <w:pStyle w:val="TextBody"/>
        <w:bidi w:val="0"/>
        <w:jc w:val="center"/>
        <w:rPr>
          <w:rFonts w:ascii="Times New Roman" w:hAnsi="Times New Roman"/>
          <w:i/>
          <w:color w:val="000000"/>
          <w:sz w:val="20"/>
        </w:rPr>
      </w:pPr>
      <w:r>
        <w:rPr>
          <w:rFonts w:ascii="Times New Roman" w:hAnsi="Times New Roman"/>
          <w:i/>
          <w:color w:val="000000"/>
          <w:sz w:val="20"/>
        </w:rPr>
        <w:t>(In thousands, except per share amounts)</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904"/>
        <w:gridCol w:w="146"/>
        <w:gridCol w:w="196"/>
        <w:gridCol w:w="691"/>
        <w:gridCol w:w="166"/>
        <w:gridCol w:w="146"/>
        <w:gridCol w:w="196"/>
        <w:gridCol w:w="751"/>
        <w:gridCol w:w="166"/>
        <w:gridCol w:w="146"/>
        <w:gridCol w:w="196"/>
        <w:gridCol w:w="691"/>
        <w:gridCol w:w="166"/>
        <w:gridCol w:w="146"/>
        <w:gridCol w:w="196"/>
        <w:gridCol w:w="691"/>
        <w:gridCol w:w="611"/>
      </w:tblGrid>
      <w:tr>
        <w:trPr/>
        <w:tc>
          <w:tcPr>
            <w:tcW w:w="49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49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w:t>
              <w:br/>
              <w:t>June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ADJUSTED NET INCOME AVAILABLE TO THE COMPANY: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90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Net income available to the Company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124,842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116,216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3,564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904"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Unrealized (gain) loss from derivative financial instruments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(231,561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(83,816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90,819</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904"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Exploration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2,150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904"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Gain on sale of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904"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Adjustment to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140,873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(14,419</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490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18"/>
              </w:rPr>
            </w:pPr>
            <w:r>
              <w:rPr>
                <w:rFonts w:ascii="Times New Roman" w:hAnsi="Times New Roman"/>
                <w:color w:val="000000"/>
                <w:sz w:val="18"/>
              </w:rPr>
              <w:t>Adjusted net income available to the Company</w:t>
            </w:r>
            <w:r>
              <w:rPr>
                <w:rFonts w:ascii="Times New Roman" w:hAnsi="Times New Roman"/>
                <w:color w:val="000000"/>
                <w:sz w:val="12"/>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8,251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34,154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47,689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82,114</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90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90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18"/>
              </w:rPr>
            </w:pPr>
            <w:r>
              <w:rPr>
                <w:rFonts w:ascii="Times New Roman" w:hAnsi="Times New Roman"/>
                <w:color w:val="000000"/>
                <w:sz w:val="18"/>
              </w:rPr>
              <w:t>Adjusted net income available to the Company per share</w:t>
            </w:r>
            <w:r>
              <w:rPr>
                <w:rFonts w:ascii="Times New Roman" w:hAnsi="Times New Roman"/>
                <w:color w:val="000000"/>
                <w:sz w:val="12"/>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0.28</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90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Diluted shares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291,612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294,247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291,465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294,026</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9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9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9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ADJUSTED EBITDAX: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90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130,728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127,499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15,335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904"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55,042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55,178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108,103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110,015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904"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141,487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(1,789</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w:t>
            </w:r>
          </w:p>
        </w:tc>
      </w:tr>
      <w:tr>
        <w:trPr/>
        <w:tc>
          <w:tcPr>
            <w:tcW w:w="4904"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Depreciation, depletion,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167,432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158,379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308,964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326,270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904"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Exploration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2,150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904"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Unrealized (gain) loss from derivative financial instruments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(231,561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(83,816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90,819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904"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15,803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9,971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904"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Gain on sale of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90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18"/>
              </w:rPr>
            </w:pPr>
            <w:r>
              <w:rPr>
                <w:rFonts w:ascii="Times New Roman" w:hAnsi="Times New Roman"/>
                <w:color w:val="000000"/>
                <w:sz w:val="18"/>
              </w:rPr>
              <w:t xml:space="preserve">Total Adjusted EBITDAX </w:t>
            </w:r>
            <w:r>
              <w:rPr>
                <w:rFonts w:ascii="Times New Roman" w:hAnsi="Times New Roman"/>
                <w:color w:val="000000"/>
                <w:sz w:val="12"/>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244,811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259,740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496,076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552,771</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90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90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9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b/>
                <w:color w:val="000000"/>
                <w:sz w:val="18"/>
              </w:rPr>
              <w:t>OPERATING CASH FLOW BEFORE CHANGES IN WORKING CAPITAL</w:t>
            </w:r>
            <w:r>
              <w:rPr>
                <w:rFonts w:ascii="Times New Roman" w:hAnsi="Times New Roman"/>
                <w:b/>
                <w:color w:val="000000"/>
                <w:sz w:val="12"/>
              </w:rPr>
              <w:t>(4)</w:t>
            </w:r>
            <w:r>
              <w:rPr>
                <w:rFonts w:ascii="Times New Roman" w:hAnsi="Times New Roman"/>
                <w:b/>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9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170,205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347,564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442,170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522,310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90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Increase (decrease) in accounts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(34,978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(61,952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(1,318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490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Increase (decrease) in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(25,322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(25,881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490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Increase in accounts payable and 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(77,628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(46,487</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49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Operating cash flow before changes in working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188,505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209,636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380,403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448,624</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left"/>
        <w:rPr/>
      </w:pPr>
      <w:r>
        <w:rPr/>
        <w:t>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(1)</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Adjusted net income available to the Company is presented because of its acceptance by investors and by Comstock management as an indicator of the Company's profitability excluding non-cash unrealized gains and losses on derivative financial instruments, exploration expense and other unusual items.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(2)</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Adjusted net income available to the Company per share is calculated to include the dilutive effects of unvested restricted stock pursuant to the two-class method and performance stock units pursuant to the treasury stock method.</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(3)</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Adjusted EBITDAX is presented in the earnings release because management believes that adjusted EBITDAX, which represents Comstock's results from operations before interest, income taxes, and certain non-cash items, including depreciation, depletion and amortization, unrealized gains and losses on derivative financial instruments and exploration expense, is a common alternative measure of operating performance used by certain investors and financial analysts.</w:t>
      </w:r>
    </w:p>
    <w:p>
      <w:pPr>
        <w:pStyle w:val="TextBody"/>
        <w:bidi w:val="0"/>
        <w:spacing w:before="80" w:after="283"/>
        <w:jc w:val="both"/>
        <w:rPr>
          <w:rFonts w:ascii="Times New Roman" w:hAnsi="Times New Roman"/>
          <w:color w:val="000000"/>
          <w:sz w:val="16"/>
        </w:rPr>
      </w:pPr>
      <w:r>
        <w:rPr>
          <w:rFonts w:ascii="Times New Roman" w:hAnsi="Times New Roman"/>
          <w:color w:val="000000"/>
          <w:sz w:val="16"/>
        </w:rPr>
        <w:t>(4)</w:t>
      </w:r>
    </w:p>
    <w:p>
      <w:pPr>
        <w:pStyle w:val="TextBody"/>
        <w:bidi w:val="0"/>
        <w:spacing w:before="80" w:after="283"/>
        <w:jc w:val="both"/>
        <w:rPr>
          <w:rFonts w:ascii="Times New Roman" w:hAnsi="Times New Roman"/>
          <w:color w:val="000000"/>
          <w:sz w:val="16"/>
        </w:rPr>
      </w:pPr>
      <w:r>
        <w:rPr>
          <w:rFonts w:ascii="Times New Roman" w:hAnsi="Times New Roman"/>
          <w:color w:val="000000"/>
          <w:sz w:val="16"/>
        </w:rPr>
        <w:t>Operating cash flow before changes in working capital is presented in the earnings release because management believes it to be useful to investors as a measure of operating cash generation of the Company based on the revenues and expenses that were related to the period versus the period when the revenues were received or expenses paid while enhancing comparability across periods. Operating cash flow before changes in working capital is not a measure of Comstock's liquidity or actual cash generation.</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COMSTOCK RESOURCES, INC.</w:t>
      </w:r>
    </w:p>
    <w:p>
      <w:pPr>
        <w:pStyle w:val="TextBody"/>
        <w:bidi w:val="0"/>
        <w:jc w:val="center"/>
        <w:rPr>
          <w:rFonts w:ascii="Times New Roman" w:hAnsi="Times New Roman"/>
          <w:b/>
          <w:color w:val="000000"/>
          <w:sz w:val="24"/>
        </w:rPr>
      </w:pPr>
      <w:r>
        <w:rPr>
          <w:rFonts w:ascii="Times New Roman" w:hAnsi="Times New Roman"/>
          <w:b/>
          <w:color w:val="000000"/>
          <w:sz w:val="24"/>
        </w:rPr>
        <w:t>CONSOLIDATED BALANCE SHEETS</w:t>
      </w:r>
    </w:p>
    <w:p>
      <w:pPr>
        <w:pStyle w:val="TextBody"/>
        <w:bidi w:val="0"/>
        <w:jc w:val="center"/>
        <w:rPr>
          <w:rFonts w:ascii="Times New Roman" w:hAnsi="Times New Roman"/>
          <w:i/>
          <w:color w:val="000000"/>
          <w:sz w:val="20"/>
        </w:rPr>
      </w:pPr>
      <w:r>
        <w:rPr>
          <w:rFonts w:ascii="Times New Roman" w:hAnsi="Times New Roman"/>
          <w:i/>
          <w:color w:val="000000"/>
          <w:sz w:val="20"/>
        </w:rPr>
        <w:t>(In thousands)</w:t>
      </w:r>
    </w:p>
    <w:p>
      <w:pPr>
        <w:pStyle w:val="TextBody"/>
        <w:bidi w:val="0"/>
        <w:jc w:val="center"/>
        <w:rPr/>
      </w:pPr>
      <w:r>
        <w:rPr/>
        <w:t> </w:t>
      </w:r>
    </w:p>
    <w:p>
      <w:pPr>
        <w:pStyle w:val="TextBody"/>
        <w:bidi w:val="0"/>
        <w:jc w:val="center"/>
        <w:rPr/>
      </w:pPr>
      <w:r>
        <w:rPr/>
        <w:t> </w:t>
      </w:r>
    </w:p>
    <w:p>
      <w:pPr>
        <w:pStyle w:val="TextBody"/>
        <w:bidi w:val="0"/>
        <w:jc w:val="center"/>
        <w:rPr/>
      </w:pPr>
      <w:r>
        <w:rPr/>
        <w:t> </w:t>
      </w:r>
    </w:p>
    <w:tbl>
      <w:tblPr>
        <w:tblW w:w="7297" w:type="dxa"/>
        <w:jc w:val="left"/>
        <w:tblInd w:w="0" w:type="dxa"/>
        <w:tblLayout w:type="fixed"/>
        <w:tblCellMar>
          <w:top w:w="28" w:type="dxa"/>
          <w:left w:w="28" w:type="dxa"/>
          <w:bottom w:w="28" w:type="dxa"/>
          <w:right w:w="28" w:type="dxa"/>
        </w:tblCellMar>
      </w:tblPr>
      <w:tblGrid>
        <w:gridCol w:w="4106"/>
        <w:gridCol w:w="146"/>
        <w:gridCol w:w="196"/>
        <w:gridCol w:w="826"/>
        <w:gridCol w:w="146"/>
        <w:gridCol w:w="146"/>
        <w:gridCol w:w="218"/>
        <w:gridCol w:w="922"/>
        <w:gridCol w:w="591"/>
      </w:tblGrid>
      <w:tr>
        <w:trPr/>
        <w:tc>
          <w:tcPr>
            <w:tcW w:w="41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1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w:t>
              <w:b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0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45,008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23,930</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180,593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242,545</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Derivative financial instruments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53,156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19,206</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59,804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75,257</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10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338,561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360,938</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6,756,314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6,215,494</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335,897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335,897</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71,684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94,733</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Derivative financial instruments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22,230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7,524,686</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18"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22"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7,007,062</w:t>
            </w:r>
          </w:p>
        </w:tc>
        <w:tc>
          <w:tcPr>
            <w:tcW w:w="59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r>
      <w:tr>
        <w:trPr/>
        <w:tc>
          <w:tcPr>
            <w:tcW w:w="41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503,111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501,695</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Accrued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171,187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153,248</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37,598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46,937</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Derivative financial instruments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27,636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10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711,896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729,516</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3,098,770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2,809,066</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Deferred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495,428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437,098</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Long-term operating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33,570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47,692</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Asset retirement obligation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21,444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20,787</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10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4,361,108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4,044,159</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146,810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146,527</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1,191,881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1,376,053</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Accumulated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1,240,446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1,124,230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10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stockholders' equity attributable to Comstock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2,579,137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2,646,810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Noncontrolling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584,441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316,093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10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3,163,578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2,962,903</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10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7,524,686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7,007,062</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3206</Words>
  <Characters>17391</Characters>
  <CharactersWithSpaces>21230</CharactersWithSpaces>
  <Paragraphs>2350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