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COMSTOCK RESOURCES,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4"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001-03262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94-1667468</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5300 Town and Country Blvd.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Frisco, Texas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75034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668-8800</w:t>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$0.50 (per share)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CRK</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$0.50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CRK</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Stock Exchange Texas</w:t>
            </w:r>
          </w:p>
        </w:tc>
      </w:tr>
    </w:tbl>
    <w:p>
      <w:pPr>
        <w:spacing w:after="0" w:line="11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its Annual Meeting on June 2, 2026. The following proposals were submitted to the holders of the Company's common stock for a vote: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Proposal 1. The re-election of five nominees to the Board;</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Proposal 2. The ratification of the appointment of Ernst &amp; Young LLP as the Company's independent registered public accounting firm for the fiscal year ending December 31, 2026; and</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Proposal 3. The approval of the advisory resolution on the 2025 compensation of our named executive officers.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close of business on the record date, April 7, 2026, there were a total of 293,695,832 shares of the Company's common stock issued and outstanding and entitled to vote at the Annual Meeting. There were 278,822,476 shares of the Company's common stock present at the Annual Meeting or represented by proxy, or approximately 95% of the Company's voting capital stock, representing a quorum.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such votes were as follows: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The following votes were cast in the election of the five nominees to the Board of Directors:</w:t>
      </w:r>
    </w:p>
    <w:p>
      <w:pPr>
        <w:spacing w:after="0" w:line="225"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80" w:type="dxa"/>
            <w:vAlign w:val="bottom"/>
          </w:tcPr>
          <w:p>
            <w:pPr>
              <w:spacing w:after="0"/>
              <w:rPr>
                <w:sz w:val="18"/>
                <w:szCs w:val="18"/>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80" w:type="dxa"/>
            <w:vAlign w:val="bottom"/>
          </w:tcPr>
          <w:p>
            <w:pPr>
              <w:spacing w:after="0"/>
              <w:rPr>
                <w:sz w:val="18"/>
                <w:szCs w:val="18"/>
                <w:color w:val="auto"/>
              </w:rPr>
            </w:pPr>
          </w:p>
        </w:tc>
        <w:tc>
          <w:tcPr>
            <w:tcW w:w="17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8"/>
        </w:trPr>
        <w:tc>
          <w:tcPr>
            <w:tcW w:w="1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Name of Nominee</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80" w:type="dxa"/>
            <w:vAlign w:val="bottom"/>
          </w:tcPr>
          <w:p>
            <w:pPr>
              <w:spacing w:after="0"/>
              <w:rPr>
                <w:sz w:val="20"/>
                <w:szCs w:val="20"/>
                <w:color w:val="auto"/>
              </w:rPr>
            </w:pPr>
          </w:p>
        </w:tc>
        <w:tc>
          <w:tcPr>
            <w:tcW w:w="17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80" w:type="dxa"/>
            <w:vAlign w:val="bottom"/>
          </w:tcPr>
          <w:p>
            <w:pPr>
              <w:spacing w:after="0"/>
              <w:rPr>
                <w:sz w:val="20"/>
                <w:szCs w:val="20"/>
                <w:color w:val="auto"/>
              </w:rPr>
            </w:pPr>
          </w:p>
        </w:tc>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80" w:type="dxa"/>
            <w:vAlign w:val="bottom"/>
          </w:tcPr>
          <w:p>
            <w:pPr>
              <w:spacing w:after="0"/>
              <w:rPr>
                <w:sz w:val="20"/>
                <w:szCs w:val="20"/>
                <w:color w:val="auto"/>
              </w:rPr>
            </w:pPr>
          </w:p>
        </w:tc>
        <w:tc>
          <w:tcPr>
            <w:tcW w:w="17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 Jay Allison</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264,394,396</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1,073,400</w:t>
            </w: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13,354,680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278,822,476</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Roland O. Burns</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263,030,985</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2,436,811</w:t>
            </w: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13,354,680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278,822,476</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Elizabeth B. Davis</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262,713,318</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2,754,478</w:t>
            </w: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13,354,680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278,822,476</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Morris E. Foster</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261,753,030</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3,714,766</w:t>
            </w: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13,354,680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278,822,476</w:t>
            </w: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Jim L. Turner</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262,745,124</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2,722,672</w:t>
            </w: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13,354,680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278,822,476</w:t>
            </w:r>
          </w:p>
        </w:tc>
      </w:tr>
    </w:tbl>
    <w:p>
      <w:pPr>
        <w:spacing w:after="0" w:line="373"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Based on the vote results set forth above, each of the director nominees was duly elected to hold office for a one-year term and until their respective successors are duly elected and qualified.</w:t>
      </w:r>
    </w:p>
    <w:p>
      <w:pPr>
        <w:spacing w:after="0" w:line="117"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following votes were cast in the ratification of the appointment of Ernst &amp; Young LLP as the Company's independent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accounting firm for the fiscal year ending December 31, 2026:</w:t>
      </w:r>
    </w:p>
    <w:p>
      <w:pPr>
        <w:spacing w:after="0" w:line="155"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Number of Votes Voted</w:t>
            </w:r>
          </w:p>
        </w:tc>
        <w:tc>
          <w:tcPr>
            <w:tcW w:w="100" w:type="dxa"/>
            <w:vAlign w:val="bottom"/>
          </w:tcPr>
          <w:p>
            <w:pPr>
              <w:spacing w:after="0"/>
              <w:rPr>
                <w:sz w:val="18"/>
                <w:szCs w:val="18"/>
                <w:color w:val="auto"/>
              </w:rPr>
            </w:pPr>
          </w:p>
        </w:tc>
        <w:tc>
          <w:tcPr>
            <w:tcW w:w="2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 Votes Voted</w:t>
            </w:r>
          </w:p>
        </w:tc>
        <w:tc>
          <w:tcPr>
            <w:tcW w:w="100" w:type="dxa"/>
            <w:vAlign w:val="bottom"/>
          </w:tcPr>
          <w:p>
            <w:pPr>
              <w:spacing w:after="0"/>
              <w:rPr>
                <w:sz w:val="18"/>
                <w:szCs w:val="18"/>
                <w:color w:val="auto"/>
              </w:rPr>
            </w:pPr>
          </w:p>
        </w:tc>
        <w:tc>
          <w:tcPr>
            <w:tcW w:w="2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 of Votes</w:t>
            </w: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8"/>
        </w:trPr>
        <w:tc>
          <w:tcPr>
            <w:tcW w:w="2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140" w:type="dxa"/>
            <w:vAlign w:val="bottom"/>
          </w:tcPr>
          <w:p>
            <w:pPr>
              <w:spacing w:after="0"/>
              <w:rPr>
                <w:sz w:val="20"/>
                <w:szCs w:val="20"/>
                <w:color w:val="auto"/>
              </w:rPr>
            </w:pPr>
          </w:p>
        </w:tc>
        <w:tc>
          <w:tcPr>
            <w:tcW w:w="21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26"/>
        </w:trPr>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277,902,269</w:t>
            </w:r>
          </w:p>
        </w:tc>
        <w:tc>
          <w:tcPr>
            <w:tcW w:w="2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530,123</w:t>
            </w:r>
          </w:p>
        </w:tc>
        <w:tc>
          <w:tcPr>
            <w:tcW w:w="2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390,084</w:t>
            </w:r>
          </w:p>
        </w:tc>
        <w:tc>
          <w:tcPr>
            <w:tcW w:w="2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278,822,476</w:t>
            </w:r>
          </w:p>
        </w:tc>
      </w:tr>
    </w:tbl>
    <w:p>
      <w:pPr>
        <w:spacing w:after="0" w:line="17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Based on the vote results set forth above, the appointment of Ernst &amp; Young LLP as the Company's independent registered public accounting firm for the fiscal year ending December 31, 2026 was duly ratified.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The following votes were cast in the advisory vote on 2025 compensation of our named executive officers:</w:t>
      </w:r>
    </w:p>
    <w:p>
      <w:pPr>
        <w:spacing w:after="0" w:line="225"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1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8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 of Votes</w:t>
            </w:r>
          </w:p>
        </w:tc>
        <w:tc>
          <w:tcPr>
            <w:tcW w:w="80" w:type="dxa"/>
            <w:vAlign w:val="bottom"/>
          </w:tcPr>
          <w:p>
            <w:pPr>
              <w:spacing w:after="0"/>
              <w:rPr>
                <w:sz w:val="18"/>
                <w:szCs w:val="18"/>
                <w:color w:val="auto"/>
              </w:rPr>
            </w:pPr>
          </w:p>
        </w:tc>
        <w:tc>
          <w:tcPr>
            <w:tcW w:w="1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8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8"/>
        </w:trPr>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8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Voted Against</w:t>
            </w:r>
          </w:p>
        </w:tc>
        <w:tc>
          <w:tcPr>
            <w:tcW w:w="80" w:type="dxa"/>
            <w:vAlign w:val="bottom"/>
          </w:tcPr>
          <w:p>
            <w:pPr>
              <w:spacing w:after="0"/>
              <w:rPr>
                <w:sz w:val="20"/>
                <w:szCs w:val="20"/>
                <w:color w:val="auto"/>
              </w:rPr>
            </w:pPr>
          </w:p>
        </w:tc>
        <w:tc>
          <w:tcPr>
            <w:tcW w:w="1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80" w:type="dxa"/>
            <w:vAlign w:val="bottom"/>
          </w:tcPr>
          <w:p>
            <w:pPr>
              <w:spacing w:after="0"/>
              <w:rPr>
                <w:sz w:val="20"/>
                <w:szCs w:val="20"/>
                <w:color w:val="auto"/>
              </w:rPr>
            </w:pPr>
          </w:p>
        </w:tc>
        <w:tc>
          <w:tcPr>
            <w:tcW w:w="1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Non-Votes</w:t>
            </w:r>
          </w:p>
        </w:tc>
        <w:tc>
          <w:tcPr>
            <w:tcW w:w="80" w:type="dxa"/>
            <w:vAlign w:val="bottom"/>
          </w:tcPr>
          <w:p>
            <w:pPr>
              <w:spacing w:after="0"/>
              <w:rPr>
                <w:sz w:val="20"/>
                <w:szCs w:val="20"/>
                <w:color w:val="auto"/>
              </w:rPr>
            </w:pPr>
          </w:p>
        </w:tc>
        <w:tc>
          <w:tcPr>
            <w:tcW w:w="17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25"/>
        </w:trPr>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264,508,945</w:t>
            </w:r>
          </w:p>
        </w:tc>
        <w:tc>
          <w:tcPr>
            <w:tcW w:w="1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526,507</w:t>
            </w: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432,344</w:t>
            </w: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13,354,680</w:t>
            </w: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278,822,476</w:t>
            </w:r>
          </w:p>
        </w:tc>
      </w:tr>
    </w:tbl>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Based on the vote results set forth above, the advisory resolution on the 2025 compensation of our named executive officers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COMSTOCK RESOURCES,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3, 2026</w:t>
      </w:r>
      <w:r>
        <w:rPr>
          <w:sz w:val="20"/>
          <w:szCs w:val="20"/>
          <w:color w:val="auto"/>
        </w:rPr>
        <w:tab/>
      </w:r>
      <w:r>
        <w:rPr>
          <w:rFonts w:ascii="Times New Roman" w:cs="Times New Roman" w:eastAsia="Times New Roman" w:hAnsi="Times New Roman"/>
          <w:sz w:val="18"/>
          <w:szCs w:val="18"/>
          <w:color w:val="auto"/>
        </w:rPr>
        <w:t>By:</w:t>
        <w:tab/>
        <w:t>/s/ 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Roland O. Burns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2026-06-03T09:53:13Z</dcterms:created>
  <dcterms:modified xsi:type="dcterms:W3CDTF">2026-06-03T09:53:13Z</dcterms:modified>
</cp:coreProperties>
</file>